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kern w:val="2"/>
          <w:highlight w:val="none"/>
        </w:rPr>
      </w:pPr>
      <w:bookmarkStart w:id="0" w:name="_Toc67627991"/>
    </w:p>
    <w:p>
      <w:pPr>
        <w:spacing w:line="360" w:lineRule="auto"/>
        <w:jc w:val="center"/>
        <w:rPr>
          <w:rFonts w:ascii="黑体" w:hAnsi="宋体" w:eastAsia="黑体"/>
          <w:b/>
          <w:sz w:val="96"/>
          <w:highlight w:val="none"/>
        </w:rPr>
      </w:pPr>
      <w:r>
        <w:rPr>
          <w:rFonts w:hint="eastAsia" w:ascii="黑体" w:hAnsi="宋体" w:eastAsia="黑体"/>
          <w:b/>
          <w:sz w:val="56"/>
          <w:szCs w:val="56"/>
          <w:highlight w:val="none"/>
        </w:rPr>
        <w:t>陈3井、陈4井、陈5井老腔改造项目箱式变电站租赁</w:t>
      </w: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公开比选文件</w:t>
      </w:r>
    </w:p>
    <w:p>
      <w:pPr>
        <w:spacing w:line="360" w:lineRule="auto"/>
        <w:rPr>
          <w:rFonts w:ascii="宋体" w:hAnsi="宋体" w:eastAsia="仿宋_GB2312"/>
          <w:b/>
          <w:sz w:val="32"/>
          <w:szCs w:val="32"/>
          <w:highlight w:val="none"/>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7"/>
        <w:ind w:firstLine="0"/>
        <w:rPr>
          <w:rFonts w:ascii="宋体" w:hAnsi="宋体"/>
          <w:highlight w:val="none"/>
        </w:rPr>
      </w:pPr>
    </w:p>
    <w:p>
      <w:pPr>
        <w:pStyle w:val="7"/>
        <w:ind w:firstLine="0"/>
        <w:rPr>
          <w:rFonts w:ascii="宋体" w:hAnsi="宋体"/>
          <w:highlight w:val="none"/>
        </w:rPr>
      </w:pPr>
    </w:p>
    <w:p>
      <w:pPr>
        <w:pStyle w:val="7"/>
        <w:ind w:firstLine="0"/>
        <w:rPr>
          <w:rFonts w:ascii="宋体" w:hAnsi="宋体"/>
          <w:highlight w:val="none"/>
        </w:rPr>
      </w:pPr>
    </w:p>
    <w:p>
      <w:pPr>
        <w:pStyle w:val="8"/>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二〇二四年六月</w:t>
      </w:r>
    </w:p>
    <w:bookmarkEnd w:id="0"/>
    <w:p>
      <w:pPr>
        <w:pStyle w:val="2"/>
        <w:spacing w:before="0" w:after="0" w:line="660" w:lineRule="exact"/>
        <w:jc w:val="center"/>
        <w:rPr>
          <w:rFonts w:ascii="方正小标宋简体" w:hAnsi="仿宋_GB2312" w:eastAsia="方正小标宋简体"/>
          <w:b w:val="0"/>
          <w:bCs/>
          <w:szCs w:val="44"/>
          <w:highlight w:val="none"/>
        </w:rPr>
      </w:pPr>
      <w:bookmarkStart w:id="1" w:name="_Toc20708"/>
      <w:bookmarkStart w:id="2" w:name="_Toc15093"/>
      <w:r>
        <w:rPr>
          <w:rFonts w:hint="eastAsia" w:ascii="方正小标宋简体" w:hAnsi="仿宋_GB2312" w:eastAsia="方正小标宋简体"/>
          <w:b w:val="0"/>
          <w:bCs/>
          <w:szCs w:val="44"/>
          <w:highlight w:val="none"/>
        </w:rPr>
        <w:t>第一章 陈3井、陈4井、陈5井老腔改造项目</w:t>
      </w:r>
      <w:bookmarkStart w:id="3" w:name="_Toc8924"/>
      <w:bookmarkStart w:id="4" w:name="_Toc24572"/>
      <w:r>
        <w:rPr>
          <w:rFonts w:hint="eastAsia" w:ascii="方正小标宋简体" w:hAnsi="仿宋_GB2312" w:eastAsia="方正小标宋简体"/>
          <w:b w:val="0"/>
          <w:bCs/>
          <w:szCs w:val="44"/>
          <w:highlight w:val="none"/>
        </w:rPr>
        <w:t>箱式变电站租赁比选采购公告</w:t>
      </w:r>
      <w:bookmarkEnd w:id="1"/>
      <w:bookmarkEnd w:id="2"/>
      <w:bookmarkEnd w:id="3"/>
      <w:bookmarkEnd w:id="4"/>
    </w:p>
    <w:p>
      <w:pPr>
        <w:jc w:val="center"/>
        <w:rPr>
          <w:highlight w:val="none"/>
        </w:rPr>
      </w:pP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陈3井、陈4井、陈5井老腔改造项目箱式变电站租赁已具备采购条件，采购人为江苏长江地质勘查院，现对陈3井、陈4井、陈5井老腔改造项目箱式变电站租赁采取公开比选，</w:t>
      </w:r>
      <w:r>
        <w:rPr>
          <w:rFonts w:hint="eastAsia" w:ascii="仿宋_GB2312" w:hAnsi="宋体" w:eastAsia="仿宋_GB2312"/>
          <w:snapToGrid w:val="0"/>
          <w:sz w:val="32"/>
          <w:szCs w:val="32"/>
          <w:highlight w:val="none"/>
        </w:rPr>
        <w:t>就有关事项说明如下：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1.项目名称：陈3井、陈4井、陈5井老腔改造项目井场箱式变电站租赁。</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2.项目地点：金坛区直溪镇。</w:t>
      </w:r>
    </w:p>
    <w:p>
      <w:pPr>
        <w:pStyle w:val="5"/>
        <w:spacing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3.租赁期限：实际租用期限以设备到达承租方指定地点起至甲方工程结束设备交还出租方为止。</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4.技术要求：符合甲方设备用电要求及江苏省电力相关规定。</w:t>
      </w:r>
    </w:p>
    <w:p>
      <w:pPr>
        <w:pStyle w:val="5"/>
        <w:spacing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5.规格型号：SS—1600KVA 10:0.66KV:0.4KV</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7.中标通知方式：书面通知中标人。</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8.评标办法为：合理低价中标法。</w:t>
      </w:r>
    </w:p>
    <w:p>
      <w:pPr>
        <w:pStyle w:val="20"/>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9.其他要求详见比选文件。</w:t>
      </w:r>
    </w:p>
    <w:p>
      <w:pPr>
        <w:pStyle w:val="20"/>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pPr>
        <w:pStyle w:val="5"/>
        <w:spacing w:line="560" w:lineRule="exact"/>
        <w:ind w:firstLine="640" w:firstLineChars="200"/>
        <w:rPr>
          <w:rFonts w:ascii="仿宋_GB2312" w:hAnsi="宋体" w:eastAsia="仿宋_GB2312"/>
          <w:snapToGrid w:val="0"/>
          <w:kern w:val="2"/>
          <w:sz w:val="32"/>
          <w:szCs w:val="32"/>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具有独立法人营业执照等证明文件</w:t>
      </w:r>
      <w:r>
        <w:rPr>
          <w:rFonts w:hint="eastAsia" w:ascii="仿宋_GB2312" w:hAnsi="宋体" w:eastAsia="仿宋_GB2312"/>
          <w:snapToGrid w:val="0"/>
          <w:kern w:val="2"/>
          <w:sz w:val="32"/>
          <w:szCs w:val="32"/>
          <w:highlight w:val="none"/>
        </w:rPr>
        <w:t>。</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2.信誉要求：</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2.1投标人未被“国家企业信用信息公示系统”网站（www.gsxt.gov.cn）列入严重违法失信企业名单。</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2.2投标人、法定代表人或者负责人未被人民法院在“信用中国”网站（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2.3承诺2021年01月01日至投标截止时间投标人、法定代表人或者负责人、拟委任的项目负责人无行贿犯罪记录，以中国裁判文书网（https://wenshu.court.gov.cn）的查询结果为准。</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2.4投标人在最近三年内（2021年01月01日至投标截止日）未发生重大质量、安全责任问题。</w:t>
      </w:r>
    </w:p>
    <w:p>
      <w:pPr>
        <w:pStyle w:val="13"/>
        <w:spacing w:after="0" w:line="560" w:lineRule="exact"/>
        <w:ind w:left="0" w:firstLine="640" w:firstLineChars="200"/>
        <w:rPr>
          <w:rFonts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60" w:lineRule="exact"/>
        <w:ind w:left="0" w:firstLine="640" w:firstLineChars="200"/>
        <w:rPr>
          <w:rFonts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5.本次采购不接受联合体投标。</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三、主要日程安排</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比选公告、比选文件及有关补遗和答疑文件相关事项在江苏长江地质勘查院（http://www.smdksd.com/）发布。</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ascii="仿宋_GB2312" w:hAnsi="宋体" w:eastAsia="仿宋_GB2312"/>
          <w:sz w:val="32"/>
          <w:szCs w:val="32"/>
          <w:highlight w:val="none"/>
        </w:rPr>
      </w:pPr>
      <w:r>
        <w:rPr>
          <w:rFonts w:hint="eastAsia" w:ascii="仿宋_GB2312" w:hAnsi="宋体" w:eastAsia="仿宋_GB2312"/>
          <w:sz w:val="32"/>
          <w:szCs w:val="32"/>
          <w:highlight w:val="none"/>
        </w:rPr>
        <w:t>1.凡有意参加投标者，请于2024年6月</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日下午14:00前，将投标材料邮寄或者人工送达的方式，送至</w:t>
      </w:r>
      <w:r>
        <w:rPr>
          <w:rFonts w:hint="eastAsia" w:ascii="仿宋_GB2312" w:hAnsi="仿宋_GB2312" w:eastAsia="仿宋_GB2312" w:cs="仿宋_GB2312"/>
          <w:sz w:val="32"/>
          <w:szCs w:val="32"/>
          <w:highlight w:val="none"/>
        </w:rPr>
        <w:t>江苏省常州市天宁区和电路10号三楼。</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2.开标：2024年6月</w:t>
      </w:r>
      <w:r>
        <w:rPr>
          <w:rFonts w:hint="eastAsia" w:ascii="仿宋_GB2312" w:hAnsi="宋体" w:eastAsia="仿宋_GB2312"/>
          <w:sz w:val="32"/>
          <w:szCs w:val="32"/>
          <w:highlight w:val="none"/>
          <w:lang w:val="en-US" w:eastAsia="zh-CN"/>
        </w:rPr>
        <w:t>18</w:t>
      </w:r>
      <w:r>
        <w:rPr>
          <w:rFonts w:hint="eastAsia" w:ascii="仿宋_GB2312" w:hAnsi="宋体" w:eastAsia="仿宋_GB2312"/>
          <w:sz w:val="32"/>
          <w:szCs w:val="32"/>
          <w:highlight w:val="none"/>
        </w:rPr>
        <w:t>日14:00时(北京时间)在</w:t>
      </w:r>
      <w:r>
        <w:rPr>
          <w:rFonts w:hint="eastAsia" w:ascii="仿宋_GB2312" w:hAnsi="仿宋_GB2312" w:eastAsia="仿宋_GB2312" w:cs="仿宋_GB2312"/>
          <w:kern w:val="0"/>
          <w:sz w:val="32"/>
          <w:szCs w:val="32"/>
          <w:highlight w:val="none"/>
        </w:rPr>
        <w:t>江苏省常州市天宁区和电路10号三楼</w:t>
      </w:r>
      <w:r>
        <w:rPr>
          <w:rFonts w:hint="eastAsia" w:ascii="仿宋_GB2312" w:hAnsi="宋体" w:eastAsia="仿宋_GB2312"/>
          <w:sz w:val="32"/>
          <w:szCs w:val="32"/>
          <w:highlight w:val="none"/>
        </w:rPr>
        <w:t>会议室开标。</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递交地点：江苏省常州市天宁区和电路10号三楼。</w:t>
      </w:r>
    </w:p>
    <w:p>
      <w:pPr>
        <w:pStyle w:val="8"/>
        <w:spacing w:after="0" w:line="560" w:lineRule="exact"/>
        <w:ind w:firstLine="640" w:firstLineChars="200"/>
        <w:rPr>
          <w:rFonts w:ascii="仿宋_GB2312" w:hAnsi="宋体" w:eastAsia="仿宋_GB2312"/>
          <w:b/>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四、采购人及联系方式</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采购人：江苏长江地质勘查院</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地址：江苏省常州市天宁区和电路10号。</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联系人：乔辰生                电话：13584378541</w:t>
      </w:r>
    </w:p>
    <w:p>
      <w:pPr>
        <w:pStyle w:val="8"/>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项目联系人：吴泽良            电话：13270950301</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五、采购监督部门</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纪检审计部                     电话：15205180066</w:t>
      </w:r>
    </w:p>
    <w:p>
      <w:pPr>
        <w:pStyle w:val="9"/>
        <w:spacing w:line="560" w:lineRule="exact"/>
        <w:ind w:firstLine="420" w:firstLineChars="200"/>
        <w:rPr>
          <w:color w:val="auto"/>
          <w:highlight w:val="none"/>
        </w:rPr>
      </w:pPr>
    </w:p>
    <w:p>
      <w:pPr>
        <w:spacing w:line="560" w:lineRule="exact"/>
        <w:ind w:firstLine="420" w:firstLineChars="200"/>
        <w:rPr>
          <w:highlight w:val="none"/>
        </w:rPr>
      </w:pPr>
    </w:p>
    <w:p>
      <w:pPr>
        <w:pStyle w:val="9"/>
        <w:spacing w:line="560" w:lineRule="exact"/>
        <w:ind w:firstLine="420" w:firstLineChars="200"/>
        <w:rPr>
          <w:color w:val="auto"/>
          <w:highlight w:val="none"/>
        </w:rPr>
      </w:pPr>
    </w:p>
    <w:p>
      <w:pPr>
        <w:pStyle w:val="9"/>
        <w:spacing w:line="560" w:lineRule="exact"/>
        <w:ind w:firstLine="420" w:firstLineChars="200"/>
        <w:rPr>
          <w:color w:val="auto"/>
          <w:highlight w:val="none"/>
        </w:rPr>
      </w:pPr>
    </w:p>
    <w:p>
      <w:pPr>
        <w:pStyle w:val="9"/>
        <w:spacing w:line="560" w:lineRule="exact"/>
        <w:ind w:firstLine="420" w:firstLineChars="200"/>
        <w:rPr>
          <w:color w:val="auto"/>
          <w:highlight w:val="none"/>
        </w:rPr>
      </w:pPr>
    </w:p>
    <w:p>
      <w:pPr>
        <w:pStyle w:val="9"/>
        <w:spacing w:line="560" w:lineRule="exact"/>
        <w:ind w:firstLine="420" w:firstLineChars="200"/>
        <w:rPr>
          <w:color w:val="auto"/>
          <w:highlight w:val="none"/>
        </w:rPr>
      </w:pPr>
    </w:p>
    <w:p>
      <w:pPr>
        <w:pStyle w:val="9"/>
        <w:spacing w:line="560" w:lineRule="exact"/>
        <w:rPr>
          <w:color w:val="auto"/>
          <w:highlight w:val="none"/>
        </w:rPr>
      </w:pPr>
    </w:p>
    <w:p>
      <w:pPr>
        <w:pStyle w:val="2"/>
        <w:spacing w:before="0" w:after="0" w:line="660" w:lineRule="exact"/>
        <w:jc w:val="center"/>
        <w:rPr>
          <w:rFonts w:ascii="方正小标宋简体" w:hAnsi="仿宋_GB2312" w:eastAsia="方正小标宋简体"/>
          <w:b w:val="0"/>
          <w:bCs/>
          <w:szCs w:val="44"/>
          <w:highlight w:val="none"/>
        </w:rPr>
      </w:pPr>
      <w:bookmarkStart w:id="5" w:name="_Toc97794043"/>
      <w:bookmarkStart w:id="6" w:name="_Toc11379"/>
      <w:r>
        <w:rPr>
          <w:rFonts w:hint="eastAsia" w:ascii="方正小标宋简体" w:hAnsi="仿宋_GB2312" w:eastAsia="方正小标宋简体"/>
          <w:b w:val="0"/>
          <w:bCs/>
          <w:szCs w:val="44"/>
          <w:highlight w:val="none"/>
        </w:rPr>
        <w:br w:type="page"/>
      </w:r>
    </w:p>
    <w:p>
      <w:pPr>
        <w:pStyle w:val="2"/>
        <w:spacing w:before="0" w:after="0" w:line="660" w:lineRule="exact"/>
        <w:jc w:val="center"/>
        <w:rPr>
          <w:rFonts w:ascii="方正小标宋简体" w:hAnsi="仿宋_GB2312" w:eastAsia="方正小标宋简体"/>
          <w:b w:val="0"/>
          <w:bCs/>
          <w:szCs w:val="44"/>
          <w:highlight w:val="none"/>
        </w:rPr>
      </w:pPr>
      <w:bookmarkStart w:id="7" w:name="_Toc2851"/>
      <w:r>
        <w:rPr>
          <w:rFonts w:hint="eastAsia" w:ascii="方正小标宋简体" w:hAnsi="仿宋_GB2312" w:eastAsia="方正小标宋简体"/>
          <w:b w:val="0"/>
          <w:bCs/>
          <w:szCs w:val="44"/>
          <w:highlight w:val="none"/>
        </w:rPr>
        <w:t>第二章 投标人须知</w:t>
      </w:r>
      <w:bookmarkEnd w:id="5"/>
      <w:bookmarkEnd w:id="6"/>
      <w:bookmarkEnd w:id="7"/>
      <w:bookmarkStart w:id="8" w:name="_Toc6644"/>
    </w:p>
    <w:bookmarkEnd w:id="8"/>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4、投标人应按照采购文件要求编制投标文件，投标文件一式 2份：其中正本 1 份、副本1 份。</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1、投标人的投标报价应是采购文件所确定的采购范围内全部内容的价格体现，报价方式采用固定单价，最高投标限价为</w:t>
      </w:r>
      <w:r>
        <w:rPr>
          <w:rFonts w:hint="eastAsia" w:ascii="仿宋_GB2312" w:hAnsi="宋体" w:eastAsia="仿宋_GB2312"/>
          <w:snapToGrid w:val="0"/>
          <w:sz w:val="32"/>
          <w:szCs w:val="32"/>
          <w:highlight w:val="none"/>
        </w:rPr>
        <w:t>1万</w:t>
      </w:r>
      <w:r>
        <w:rPr>
          <w:rFonts w:hint="eastAsia" w:ascii="仿宋_GB2312" w:hAnsi="宋体" w:eastAsia="仿宋_GB2312"/>
          <w:sz w:val="32"/>
          <w:szCs w:val="32"/>
          <w:highlight w:val="none"/>
        </w:rPr>
        <w:t xml:space="preserve">元/月，一旦中标，报价不予调整。                               </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2"/>
        <w:spacing w:before="0" w:after="0" w:line="660" w:lineRule="exact"/>
        <w:jc w:val="center"/>
        <w:rPr>
          <w:rFonts w:ascii="宋体" w:hAnsi="宋体"/>
          <w:highlight w:val="none"/>
        </w:rPr>
      </w:pPr>
      <w:r>
        <w:rPr>
          <w:rFonts w:ascii="宋体" w:hAnsi="宋体"/>
          <w:highlight w:val="none"/>
        </w:rPr>
        <w:br w:type="page"/>
      </w:r>
      <w:bookmarkStart w:id="9" w:name="_Toc161767419"/>
      <w:bookmarkStart w:id="10" w:name="_Toc135998992"/>
    </w:p>
    <w:p>
      <w:pPr>
        <w:pStyle w:val="2"/>
        <w:spacing w:before="0" w:after="0" w:line="660" w:lineRule="exact"/>
        <w:jc w:val="center"/>
        <w:rPr>
          <w:rFonts w:ascii="方正小标宋简体" w:hAnsi="仿宋_GB2312" w:eastAsia="方正小标宋简体"/>
          <w:b w:val="0"/>
          <w:bCs/>
          <w:szCs w:val="44"/>
          <w:highlight w:val="none"/>
        </w:rPr>
      </w:pPr>
    </w:p>
    <w:bookmarkEnd w:id="9"/>
    <w:bookmarkEnd w:id="10"/>
    <w:p>
      <w:pPr>
        <w:pStyle w:val="2"/>
        <w:spacing w:before="0" w:after="0" w:line="660" w:lineRule="exact"/>
        <w:jc w:val="center"/>
        <w:rPr>
          <w:rFonts w:ascii="方正小标宋简体" w:hAnsi="仿宋_GB2312" w:eastAsia="方正小标宋简体"/>
          <w:b w:val="0"/>
          <w:bCs/>
          <w:szCs w:val="44"/>
          <w:highlight w:val="none"/>
        </w:rPr>
      </w:pPr>
      <w:bookmarkStart w:id="11" w:name="_Toc414431079"/>
      <w:bookmarkStart w:id="12" w:name="_Toc96585093"/>
      <w:bookmarkStart w:id="13" w:name="_Toc28611"/>
      <w:bookmarkStart w:id="14" w:name="_Toc96584967"/>
      <w:bookmarkStart w:id="15" w:name="_Toc16449"/>
      <w:bookmarkStart w:id="16" w:name="_Toc135999006"/>
      <w:bookmarkStart w:id="17" w:name="_Toc161767428"/>
      <w:r>
        <w:rPr>
          <w:rFonts w:hint="eastAsia" w:ascii="方正小标宋简体" w:hAnsi="仿宋_GB2312" w:eastAsia="方正小标宋简体"/>
          <w:b w:val="0"/>
          <w:bCs/>
          <w:szCs w:val="44"/>
          <w:highlight w:val="none"/>
        </w:rPr>
        <w:t>第三章 合同模板</w:t>
      </w:r>
    </w:p>
    <w:p>
      <w:pPr>
        <w:spacing w:line="360" w:lineRule="auto"/>
        <w:rPr>
          <w:rFonts w:ascii="宋体" w:hAnsi="宋体" w:cs="宋体"/>
          <w:b/>
          <w:bCs/>
          <w:spacing w:val="35"/>
          <w:sz w:val="24"/>
          <w:szCs w:val="24"/>
          <w:highlight w:val="none"/>
        </w:rPr>
      </w:pPr>
    </w:p>
    <w:p>
      <w:pPr>
        <w:spacing w:line="400" w:lineRule="exact"/>
        <w:rPr>
          <w:sz w:val="24"/>
          <w:highlight w:val="none"/>
        </w:rPr>
      </w:pPr>
      <w:r>
        <w:rPr>
          <w:rFonts w:hint="eastAsia"/>
          <w:sz w:val="24"/>
          <w:highlight w:val="none"/>
        </w:rPr>
        <w:t>出租单位：</w:t>
      </w:r>
    </w:p>
    <w:p>
      <w:pPr>
        <w:spacing w:line="400" w:lineRule="exact"/>
        <w:rPr>
          <w:sz w:val="24"/>
          <w:highlight w:val="none"/>
        </w:rPr>
      </w:pPr>
      <w:r>
        <w:rPr>
          <w:rFonts w:hint="eastAsia"/>
          <w:sz w:val="24"/>
          <w:highlight w:val="none"/>
        </w:rPr>
        <w:t>承租单位：</w:t>
      </w:r>
    </w:p>
    <w:p>
      <w:pPr>
        <w:spacing w:line="400" w:lineRule="exact"/>
        <w:ind w:firstLine="480"/>
        <w:rPr>
          <w:sz w:val="24"/>
          <w:highlight w:val="none"/>
        </w:rPr>
      </w:pPr>
      <w:r>
        <w:rPr>
          <w:rFonts w:hint="eastAsia"/>
          <w:sz w:val="24"/>
          <w:highlight w:val="none"/>
        </w:rPr>
        <w:t>为了明确出租方与承租方的权利和义务，根据中华人民共和国《民法典》的有关规定，经双方充分协商，特订本合同，以便共同遵守。</w:t>
      </w:r>
    </w:p>
    <w:p>
      <w:pPr>
        <w:spacing w:line="400" w:lineRule="exact"/>
        <w:ind w:firstLine="480"/>
        <w:rPr>
          <w:sz w:val="24"/>
          <w:highlight w:val="none"/>
        </w:rPr>
      </w:pPr>
      <w:r>
        <w:rPr>
          <w:rFonts w:hint="eastAsia"/>
          <w:sz w:val="24"/>
          <w:highlight w:val="none"/>
        </w:rPr>
        <w:t>（一）租赁设备及附件的名称、数量、规格型号及价款：</w:t>
      </w:r>
    </w:p>
    <w:tbl>
      <w:tblPr>
        <w:tblStyle w:val="2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19"/>
        <w:gridCol w:w="1869"/>
        <w:gridCol w:w="1117"/>
        <w:gridCol w:w="1566"/>
        <w:gridCol w:w="116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b/>
                <w:bCs/>
                <w:sz w:val="22"/>
                <w:szCs w:val="18"/>
                <w:highlight w:val="none"/>
              </w:rPr>
            </w:pPr>
            <w:r>
              <w:rPr>
                <w:rFonts w:hint="eastAsia"/>
                <w:b/>
                <w:bCs/>
                <w:sz w:val="22"/>
                <w:szCs w:val="18"/>
                <w:highlight w:val="none"/>
              </w:rPr>
              <w:t>序号</w:t>
            </w:r>
          </w:p>
        </w:tc>
        <w:tc>
          <w:tcPr>
            <w:tcW w:w="1319" w:type="dxa"/>
            <w:vAlign w:val="center"/>
          </w:tcPr>
          <w:p>
            <w:pPr>
              <w:spacing w:line="400" w:lineRule="exact"/>
              <w:jc w:val="center"/>
              <w:rPr>
                <w:b/>
                <w:bCs/>
                <w:sz w:val="22"/>
                <w:szCs w:val="18"/>
                <w:highlight w:val="none"/>
              </w:rPr>
            </w:pPr>
            <w:r>
              <w:rPr>
                <w:rFonts w:hint="eastAsia"/>
                <w:b/>
                <w:bCs/>
                <w:sz w:val="22"/>
                <w:szCs w:val="18"/>
                <w:highlight w:val="none"/>
              </w:rPr>
              <w:t>设备名称</w:t>
            </w:r>
          </w:p>
        </w:tc>
        <w:tc>
          <w:tcPr>
            <w:tcW w:w="1869" w:type="dxa"/>
            <w:vAlign w:val="center"/>
          </w:tcPr>
          <w:p>
            <w:pPr>
              <w:spacing w:line="400" w:lineRule="exact"/>
              <w:jc w:val="center"/>
              <w:rPr>
                <w:b/>
                <w:bCs/>
                <w:sz w:val="22"/>
                <w:szCs w:val="18"/>
                <w:highlight w:val="none"/>
              </w:rPr>
            </w:pPr>
            <w:r>
              <w:rPr>
                <w:rFonts w:hint="eastAsia"/>
                <w:b/>
                <w:bCs/>
                <w:sz w:val="22"/>
                <w:szCs w:val="18"/>
                <w:highlight w:val="none"/>
              </w:rPr>
              <w:t>规格型号</w:t>
            </w:r>
          </w:p>
        </w:tc>
        <w:tc>
          <w:tcPr>
            <w:tcW w:w="1117" w:type="dxa"/>
            <w:vAlign w:val="center"/>
          </w:tcPr>
          <w:p>
            <w:pPr>
              <w:spacing w:line="400" w:lineRule="exact"/>
              <w:jc w:val="center"/>
              <w:rPr>
                <w:b/>
                <w:bCs/>
                <w:sz w:val="22"/>
                <w:szCs w:val="18"/>
                <w:highlight w:val="none"/>
              </w:rPr>
            </w:pPr>
            <w:r>
              <w:rPr>
                <w:rFonts w:hint="eastAsia"/>
                <w:b/>
                <w:bCs/>
                <w:sz w:val="22"/>
                <w:szCs w:val="18"/>
                <w:highlight w:val="none"/>
              </w:rPr>
              <w:t>数量（台）</w:t>
            </w:r>
          </w:p>
        </w:tc>
        <w:tc>
          <w:tcPr>
            <w:tcW w:w="1566" w:type="dxa"/>
            <w:vAlign w:val="center"/>
          </w:tcPr>
          <w:p>
            <w:pPr>
              <w:spacing w:line="400" w:lineRule="exact"/>
              <w:jc w:val="center"/>
              <w:rPr>
                <w:b/>
                <w:bCs/>
                <w:sz w:val="22"/>
                <w:szCs w:val="18"/>
                <w:highlight w:val="none"/>
              </w:rPr>
            </w:pPr>
            <w:r>
              <w:rPr>
                <w:rFonts w:hint="eastAsia"/>
                <w:b/>
                <w:bCs/>
                <w:sz w:val="22"/>
                <w:szCs w:val="18"/>
                <w:highlight w:val="none"/>
              </w:rPr>
              <w:t>租金      （元）/月</w:t>
            </w:r>
            <w:r>
              <w:rPr>
                <w:b/>
                <w:bCs/>
                <w:sz w:val="22"/>
                <w:szCs w:val="18"/>
                <w:highlight w:val="none"/>
              </w:rPr>
              <w:t xml:space="preserve"> </w:t>
            </w:r>
          </w:p>
        </w:tc>
        <w:tc>
          <w:tcPr>
            <w:tcW w:w="1168" w:type="dxa"/>
            <w:vAlign w:val="center"/>
          </w:tcPr>
          <w:p>
            <w:pPr>
              <w:spacing w:line="400" w:lineRule="exact"/>
              <w:jc w:val="center"/>
              <w:rPr>
                <w:b/>
                <w:bCs/>
                <w:sz w:val="22"/>
                <w:szCs w:val="18"/>
                <w:highlight w:val="none"/>
              </w:rPr>
            </w:pPr>
            <w:r>
              <w:rPr>
                <w:rFonts w:hint="eastAsia"/>
                <w:b/>
                <w:bCs/>
                <w:sz w:val="22"/>
                <w:szCs w:val="18"/>
                <w:highlight w:val="none"/>
              </w:rPr>
              <w:t>金额（元）</w:t>
            </w:r>
          </w:p>
        </w:tc>
        <w:tc>
          <w:tcPr>
            <w:tcW w:w="1151" w:type="dxa"/>
            <w:vAlign w:val="center"/>
          </w:tcPr>
          <w:p>
            <w:pPr>
              <w:spacing w:line="400" w:lineRule="exact"/>
              <w:jc w:val="center"/>
              <w:rPr>
                <w:b/>
                <w:bCs/>
                <w:sz w:val="22"/>
                <w:szCs w:val="18"/>
                <w:highlight w:val="none"/>
              </w:rPr>
            </w:pPr>
            <w:r>
              <w:rPr>
                <w:rFonts w:hint="eastAsia"/>
                <w:b/>
                <w:bCs/>
                <w:sz w:val="22"/>
                <w:szCs w:val="18"/>
                <w:highlight w:val="none"/>
              </w:rPr>
              <w:t>押金（元）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1</w:t>
            </w:r>
          </w:p>
        </w:tc>
        <w:tc>
          <w:tcPr>
            <w:tcW w:w="1319" w:type="dxa"/>
            <w:vAlign w:val="center"/>
          </w:tcPr>
          <w:p>
            <w:pPr>
              <w:spacing w:line="400" w:lineRule="exact"/>
              <w:jc w:val="center"/>
              <w:rPr>
                <w:sz w:val="22"/>
                <w:szCs w:val="18"/>
                <w:highlight w:val="none"/>
              </w:rPr>
            </w:pPr>
            <w:r>
              <w:rPr>
                <w:rFonts w:hint="eastAsia"/>
                <w:sz w:val="22"/>
                <w:szCs w:val="18"/>
                <w:highlight w:val="none"/>
              </w:rPr>
              <w:t>预装式箱式变电站</w:t>
            </w:r>
          </w:p>
        </w:tc>
        <w:tc>
          <w:tcPr>
            <w:tcW w:w="1869" w:type="dxa"/>
            <w:vAlign w:val="center"/>
          </w:tcPr>
          <w:p>
            <w:pPr>
              <w:spacing w:line="400" w:lineRule="exact"/>
              <w:jc w:val="center"/>
              <w:rPr>
                <w:sz w:val="22"/>
                <w:szCs w:val="18"/>
                <w:highlight w:val="none"/>
              </w:rPr>
            </w:pPr>
            <w:r>
              <w:rPr>
                <w:rFonts w:hint="eastAsia"/>
                <w:sz w:val="22"/>
                <w:szCs w:val="18"/>
                <w:highlight w:val="none"/>
              </w:rPr>
              <w:t xml:space="preserve">SS—1600KVA  </w:t>
            </w:r>
          </w:p>
          <w:p>
            <w:pPr>
              <w:spacing w:line="400" w:lineRule="exact"/>
              <w:jc w:val="center"/>
              <w:rPr>
                <w:sz w:val="22"/>
                <w:szCs w:val="18"/>
                <w:highlight w:val="none"/>
              </w:rPr>
            </w:pPr>
            <w:r>
              <w:rPr>
                <w:rFonts w:hint="eastAsia"/>
                <w:sz w:val="22"/>
                <w:szCs w:val="18"/>
                <w:highlight w:val="none"/>
              </w:rPr>
              <w:t>10:0.66KV:0.4KV</w:t>
            </w:r>
          </w:p>
        </w:tc>
        <w:tc>
          <w:tcPr>
            <w:tcW w:w="1117" w:type="dxa"/>
            <w:vAlign w:val="center"/>
          </w:tcPr>
          <w:p>
            <w:pPr>
              <w:spacing w:line="400" w:lineRule="exact"/>
              <w:jc w:val="center"/>
              <w:rPr>
                <w:sz w:val="22"/>
                <w:szCs w:val="18"/>
                <w:highlight w:val="none"/>
              </w:rPr>
            </w:pPr>
            <w:r>
              <w:rPr>
                <w:rFonts w:hint="eastAsia"/>
                <w:sz w:val="22"/>
                <w:szCs w:val="18"/>
                <w:highlight w:val="none"/>
              </w:rPr>
              <w:t>1台</w:t>
            </w:r>
          </w:p>
        </w:tc>
        <w:tc>
          <w:tcPr>
            <w:tcW w:w="1566" w:type="dxa"/>
            <w:vAlign w:val="center"/>
          </w:tcPr>
          <w:p>
            <w:pPr>
              <w:spacing w:line="400" w:lineRule="exact"/>
              <w:jc w:val="center"/>
              <w:rPr>
                <w:sz w:val="22"/>
                <w:szCs w:val="18"/>
                <w:highlight w:val="none"/>
              </w:rPr>
            </w:pPr>
          </w:p>
        </w:tc>
        <w:tc>
          <w:tcPr>
            <w:tcW w:w="1168" w:type="dxa"/>
            <w:vAlign w:val="center"/>
          </w:tcPr>
          <w:p>
            <w:pPr>
              <w:spacing w:line="400" w:lineRule="exact"/>
              <w:jc w:val="center"/>
              <w:rPr>
                <w:sz w:val="22"/>
                <w:szCs w:val="18"/>
                <w:highlight w:val="none"/>
              </w:rPr>
            </w:pPr>
            <w:r>
              <w:rPr>
                <w:rFonts w:hint="eastAsia"/>
                <w:sz w:val="22"/>
                <w:szCs w:val="18"/>
                <w:highlight w:val="none"/>
              </w:rPr>
              <w:t>据实结算</w:t>
            </w: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46" w:type="dxa"/>
            <w:vAlign w:val="center"/>
          </w:tcPr>
          <w:p>
            <w:pPr>
              <w:spacing w:line="400" w:lineRule="exact"/>
              <w:jc w:val="center"/>
              <w:rPr>
                <w:sz w:val="22"/>
                <w:szCs w:val="18"/>
                <w:highlight w:val="none"/>
              </w:rPr>
            </w:pPr>
          </w:p>
        </w:tc>
        <w:tc>
          <w:tcPr>
            <w:tcW w:w="1319" w:type="dxa"/>
            <w:vAlign w:val="center"/>
          </w:tcPr>
          <w:p>
            <w:pPr>
              <w:spacing w:line="400" w:lineRule="exact"/>
              <w:jc w:val="center"/>
              <w:rPr>
                <w:sz w:val="22"/>
                <w:szCs w:val="18"/>
                <w:highlight w:val="none"/>
              </w:rPr>
            </w:pPr>
            <w:r>
              <w:rPr>
                <w:rFonts w:hint="eastAsia"/>
                <w:sz w:val="22"/>
                <w:szCs w:val="18"/>
                <w:highlight w:val="none"/>
              </w:rPr>
              <w:t>合计</w:t>
            </w:r>
          </w:p>
        </w:tc>
        <w:tc>
          <w:tcPr>
            <w:tcW w:w="1869" w:type="dxa"/>
            <w:vAlign w:val="center"/>
          </w:tcPr>
          <w:p>
            <w:pPr>
              <w:spacing w:line="400" w:lineRule="exact"/>
              <w:jc w:val="center"/>
              <w:rPr>
                <w:sz w:val="22"/>
                <w:szCs w:val="18"/>
                <w:highlight w:val="none"/>
              </w:rPr>
            </w:pPr>
          </w:p>
        </w:tc>
        <w:tc>
          <w:tcPr>
            <w:tcW w:w="1117" w:type="dxa"/>
            <w:vAlign w:val="center"/>
          </w:tcPr>
          <w:p>
            <w:pPr>
              <w:spacing w:line="400" w:lineRule="exact"/>
              <w:jc w:val="center"/>
              <w:rPr>
                <w:sz w:val="22"/>
                <w:szCs w:val="18"/>
                <w:highlight w:val="none"/>
              </w:rPr>
            </w:pPr>
          </w:p>
        </w:tc>
        <w:tc>
          <w:tcPr>
            <w:tcW w:w="1566" w:type="dxa"/>
            <w:vAlign w:val="center"/>
          </w:tcPr>
          <w:p>
            <w:pPr>
              <w:spacing w:line="400" w:lineRule="exact"/>
              <w:jc w:val="center"/>
              <w:rPr>
                <w:sz w:val="22"/>
                <w:szCs w:val="18"/>
                <w:highlight w:val="none"/>
              </w:rPr>
            </w:pPr>
          </w:p>
        </w:tc>
        <w:tc>
          <w:tcPr>
            <w:tcW w:w="1168" w:type="dxa"/>
            <w:vAlign w:val="center"/>
          </w:tcPr>
          <w:p>
            <w:pPr>
              <w:spacing w:line="400" w:lineRule="exact"/>
              <w:jc w:val="center"/>
              <w:rPr>
                <w:sz w:val="22"/>
                <w:szCs w:val="18"/>
                <w:highlight w:val="none"/>
              </w:rPr>
            </w:pP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备注</w:t>
            </w:r>
          </w:p>
        </w:tc>
        <w:tc>
          <w:tcPr>
            <w:tcW w:w="8190" w:type="dxa"/>
            <w:gridSpan w:val="6"/>
            <w:vAlign w:val="center"/>
          </w:tcPr>
          <w:p>
            <w:pPr>
              <w:spacing w:line="400" w:lineRule="exact"/>
              <w:rPr>
                <w:sz w:val="22"/>
                <w:szCs w:val="18"/>
                <w:highlight w:val="none"/>
              </w:rPr>
            </w:pPr>
            <w:r>
              <w:rPr>
                <w:rFonts w:hint="eastAsia"/>
                <w:sz w:val="22"/>
                <w:szCs w:val="18"/>
                <w:highlight w:val="none"/>
              </w:rPr>
              <w:t>使用地点：出租单位负责来回运费（工地现场吊装费除外），满足双方约定要求（以双方确认图纸为准），不承担停电损失，开票税率</w:t>
            </w:r>
            <w:r>
              <w:rPr>
                <w:rFonts w:hint="eastAsia"/>
                <w:sz w:val="22"/>
                <w:szCs w:val="18"/>
                <w:highlight w:val="none"/>
                <w:u w:val="single"/>
              </w:rPr>
              <w:t xml:space="preserve">     </w:t>
            </w:r>
            <w:r>
              <w:rPr>
                <w:rFonts w:hint="eastAsia"/>
                <w:sz w:val="22"/>
                <w:szCs w:val="18"/>
                <w:highlight w:val="none"/>
              </w:rPr>
              <w:t>。</w:t>
            </w:r>
          </w:p>
        </w:tc>
      </w:tr>
    </w:tbl>
    <w:p>
      <w:pPr>
        <w:spacing w:line="400" w:lineRule="exact"/>
        <w:ind w:firstLine="480" w:firstLineChars="200"/>
        <w:rPr>
          <w:sz w:val="24"/>
          <w:highlight w:val="none"/>
        </w:rPr>
      </w:pPr>
      <w:r>
        <w:rPr>
          <w:rFonts w:hint="eastAsia"/>
          <w:sz w:val="24"/>
          <w:highlight w:val="none"/>
        </w:rPr>
        <w:t>（二）租赁期限</w:t>
      </w:r>
    </w:p>
    <w:p>
      <w:pPr>
        <w:spacing w:line="400" w:lineRule="exact"/>
        <w:ind w:firstLine="480" w:firstLineChars="200"/>
        <w:rPr>
          <w:sz w:val="24"/>
          <w:highlight w:val="none"/>
        </w:rPr>
      </w:pPr>
      <w:r>
        <w:rPr>
          <w:rFonts w:hint="eastAsia"/>
          <w:sz w:val="24"/>
          <w:highlight w:val="none"/>
        </w:rPr>
        <w:t>租赁期限：实际租用期限以设备到达承租方指定地点起至甲方工程结束设备交还出租方为止。</w:t>
      </w:r>
    </w:p>
    <w:p>
      <w:pPr>
        <w:spacing w:line="400" w:lineRule="exact"/>
        <w:ind w:firstLine="480" w:firstLineChars="200"/>
        <w:rPr>
          <w:sz w:val="24"/>
          <w:highlight w:val="none"/>
        </w:rPr>
      </w:pPr>
      <w:r>
        <w:rPr>
          <w:rFonts w:hint="eastAsia"/>
          <w:sz w:val="24"/>
          <w:highlight w:val="none"/>
        </w:rPr>
        <w:t>（三）租金数额、结算方式及交纳期限：</w:t>
      </w:r>
    </w:p>
    <w:p>
      <w:pPr>
        <w:spacing w:line="400" w:lineRule="exact"/>
        <w:ind w:firstLine="480" w:firstLineChars="200"/>
        <w:jc w:val="left"/>
        <w:rPr>
          <w:sz w:val="24"/>
          <w:highlight w:val="none"/>
        </w:rPr>
      </w:pPr>
      <w:r>
        <w:rPr>
          <w:rFonts w:hint="eastAsia"/>
          <w:sz w:val="24"/>
          <w:highlight w:val="none"/>
        </w:rPr>
        <w:t>1、此箱变租赁价格为：箱式变电站（SS—1600KVA 10:0.66KV:0.4KV）租金每个月</w:t>
      </w:r>
      <w:r>
        <w:rPr>
          <w:rFonts w:hint="eastAsia"/>
          <w:sz w:val="24"/>
          <w:highlight w:val="none"/>
          <w:u w:val="single"/>
        </w:rPr>
        <w:t xml:space="preserve">    </w:t>
      </w:r>
      <w:r>
        <w:rPr>
          <w:rFonts w:hint="eastAsia"/>
          <w:sz w:val="24"/>
          <w:highlight w:val="none"/>
        </w:rPr>
        <w:t>万元每台，以上箱式变电站使用期不满15天按照半个月结算，超过15天按照一个月结算。此箱式变电站（S11—1600KVA 10：0.66KV:0.4KV）押金为</w:t>
      </w:r>
      <w:r>
        <w:rPr>
          <w:rFonts w:hint="eastAsia"/>
          <w:sz w:val="24"/>
          <w:highlight w:val="none"/>
          <w:u w:val="single"/>
        </w:rPr>
        <w:t xml:space="preserve">    </w:t>
      </w:r>
      <w:r>
        <w:rPr>
          <w:rFonts w:hint="eastAsia"/>
          <w:sz w:val="24"/>
          <w:highlight w:val="none"/>
        </w:rPr>
        <w:t>万元每台。</w:t>
      </w:r>
    </w:p>
    <w:p>
      <w:pPr>
        <w:spacing w:line="400" w:lineRule="exact"/>
        <w:ind w:firstLine="480" w:firstLineChars="200"/>
        <w:rPr>
          <w:sz w:val="24"/>
          <w:highlight w:val="none"/>
        </w:rPr>
      </w:pPr>
      <w:r>
        <w:rPr>
          <w:rFonts w:hint="eastAsia"/>
          <w:sz w:val="24"/>
          <w:highlight w:val="none"/>
        </w:rPr>
        <w:t>2、以上商定总价款包括了出租方履行合同，完成合同规定的设备交付以及维修保养费用，租金以箱式变电站到现场之日起算。</w:t>
      </w:r>
    </w:p>
    <w:p>
      <w:pPr>
        <w:spacing w:line="400" w:lineRule="exact"/>
        <w:ind w:firstLine="480" w:firstLineChars="200"/>
        <w:rPr>
          <w:sz w:val="24"/>
          <w:highlight w:val="none"/>
        </w:rPr>
      </w:pPr>
      <w:r>
        <w:rPr>
          <w:rFonts w:hint="eastAsia"/>
          <w:sz w:val="24"/>
          <w:highlight w:val="none"/>
        </w:rPr>
        <w:t>3、付款方式：银行承兑或汇款。合同签订后承租方预支付    万元押金，出租方开始组装预装式箱式变电站。按承租方要求的日期内交货，发货前再支付    万元押金后发货。租金以双方确认的结算单为准。</w:t>
      </w:r>
    </w:p>
    <w:p>
      <w:pPr>
        <w:spacing w:line="400" w:lineRule="exact"/>
        <w:ind w:firstLine="480" w:firstLineChars="200"/>
        <w:rPr>
          <w:sz w:val="24"/>
          <w:highlight w:val="none"/>
        </w:rPr>
      </w:pPr>
      <w:r>
        <w:rPr>
          <w:rFonts w:hint="eastAsia"/>
          <w:sz w:val="24"/>
          <w:highlight w:val="none"/>
        </w:rPr>
        <w:t>4、承租方用完后按合同规定将箱变退回，经出租方验收后租金在承租方押金中直接扣除，剩余押</w:t>
      </w:r>
      <w:bookmarkStart w:id="42" w:name="_GoBack"/>
      <w:bookmarkEnd w:id="42"/>
      <w:r>
        <w:rPr>
          <w:rFonts w:hint="eastAsia"/>
          <w:sz w:val="24"/>
          <w:highlight w:val="none"/>
        </w:rPr>
        <w:t>金当日内全部退还到承租单位指定账户并开具</w:t>
      </w:r>
      <w:r>
        <w:rPr>
          <w:rFonts w:hint="eastAsia"/>
          <w:sz w:val="24"/>
          <w:highlight w:val="none"/>
          <w:u w:val="single"/>
        </w:rPr>
        <w:t xml:space="preserve">    </w:t>
      </w:r>
      <w:r>
        <w:rPr>
          <w:rFonts w:hint="eastAsia"/>
          <w:sz w:val="24"/>
          <w:highlight w:val="none"/>
        </w:rPr>
        <w:t>%增值税专票。</w:t>
      </w:r>
    </w:p>
    <w:p>
      <w:pPr>
        <w:spacing w:line="400" w:lineRule="exact"/>
        <w:ind w:firstLine="480" w:firstLineChars="200"/>
        <w:rPr>
          <w:sz w:val="24"/>
          <w:highlight w:val="none"/>
        </w:rPr>
      </w:pPr>
      <w:r>
        <w:rPr>
          <w:rFonts w:hint="eastAsia"/>
          <w:sz w:val="24"/>
          <w:highlight w:val="none"/>
        </w:rPr>
        <w:t>5、箱变的要求：见附件明细</w:t>
      </w:r>
    </w:p>
    <w:p>
      <w:pPr>
        <w:spacing w:line="400" w:lineRule="exact"/>
        <w:ind w:firstLine="480" w:firstLineChars="200"/>
        <w:rPr>
          <w:sz w:val="24"/>
          <w:highlight w:val="none"/>
        </w:rPr>
      </w:pPr>
      <w:r>
        <w:rPr>
          <w:rFonts w:hint="eastAsia"/>
          <w:sz w:val="24"/>
          <w:highlight w:val="none"/>
        </w:rPr>
        <w:t>（四）箱式变电站的维修与保养</w:t>
      </w:r>
    </w:p>
    <w:p>
      <w:pPr>
        <w:spacing w:line="400" w:lineRule="exact"/>
        <w:ind w:firstLine="480" w:firstLineChars="200"/>
        <w:rPr>
          <w:sz w:val="24"/>
          <w:highlight w:val="none"/>
        </w:rPr>
      </w:pPr>
      <w:r>
        <w:rPr>
          <w:rFonts w:hint="eastAsia"/>
          <w:sz w:val="24"/>
          <w:highlight w:val="none"/>
        </w:rPr>
        <w:t>设备如在正常使用条件下发生损坏，出租方必须在24小时内赶到变压器所在地进行修复及现场用电前对箱式变电站检查、技术指导。</w:t>
      </w:r>
    </w:p>
    <w:p>
      <w:pPr>
        <w:spacing w:line="400" w:lineRule="exact"/>
        <w:ind w:firstLine="480" w:firstLineChars="200"/>
        <w:jc w:val="left"/>
        <w:rPr>
          <w:sz w:val="24"/>
          <w:highlight w:val="none"/>
        </w:rPr>
      </w:pPr>
      <w:r>
        <w:rPr>
          <w:rFonts w:hint="eastAsia"/>
          <w:sz w:val="24"/>
          <w:highlight w:val="none"/>
        </w:rPr>
        <w:t>（五）出租方和承租方的变更</w:t>
      </w:r>
    </w:p>
    <w:p>
      <w:pPr>
        <w:spacing w:line="400" w:lineRule="exact"/>
        <w:ind w:firstLine="480" w:firstLineChars="200"/>
        <w:rPr>
          <w:sz w:val="24"/>
          <w:highlight w:val="none"/>
        </w:rPr>
      </w:pPr>
      <w:r>
        <w:rPr>
          <w:rFonts w:hint="eastAsia"/>
          <w:sz w:val="24"/>
          <w:highlight w:val="none"/>
        </w:rPr>
        <w:t>1、在设备出租期间，出租方不得将设备所有权转移给第三方。</w:t>
      </w:r>
    </w:p>
    <w:p>
      <w:pPr>
        <w:spacing w:line="400" w:lineRule="exact"/>
        <w:ind w:firstLine="480" w:firstLineChars="200"/>
        <w:rPr>
          <w:sz w:val="24"/>
          <w:highlight w:val="none"/>
        </w:rPr>
      </w:pPr>
      <w:r>
        <w:rPr>
          <w:rFonts w:hint="eastAsia"/>
          <w:sz w:val="24"/>
          <w:highlight w:val="none"/>
        </w:rPr>
        <w:t>2、承租方如因工作需要，将设备转租给第三方使用，必须先征得出租方同意，另行签订转租合同后取得设备使用权的第三方即成为承租方，享有原承租方的权利，承担原承租方的义务。</w:t>
      </w:r>
    </w:p>
    <w:p>
      <w:pPr>
        <w:spacing w:line="400" w:lineRule="exact"/>
        <w:ind w:firstLine="480" w:firstLineChars="200"/>
        <w:rPr>
          <w:sz w:val="24"/>
          <w:highlight w:val="none"/>
        </w:rPr>
      </w:pPr>
      <w:r>
        <w:rPr>
          <w:rFonts w:hint="eastAsia"/>
          <w:sz w:val="24"/>
          <w:highlight w:val="none"/>
        </w:rPr>
        <w:t>（六）违约责任</w:t>
      </w:r>
    </w:p>
    <w:p>
      <w:pPr>
        <w:spacing w:line="400" w:lineRule="exact"/>
        <w:ind w:firstLine="480" w:firstLineChars="200"/>
        <w:rPr>
          <w:sz w:val="24"/>
          <w:highlight w:val="none"/>
        </w:rPr>
      </w:pPr>
      <w:r>
        <w:rPr>
          <w:rFonts w:hint="eastAsia"/>
          <w:sz w:val="24"/>
          <w:highlight w:val="none"/>
        </w:rPr>
        <w:t>根据《民法典》由违约方承担违约责任。</w:t>
      </w:r>
    </w:p>
    <w:p>
      <w:pPr>
        <w:spacing w:line="400" w:lineRule="exact"/>
        <w:ind w:firstLine="480" w:firstLineChars="200"/>
        <w:rPr>
          <w:sz w:val="24"/>
          <w:highlight w:val="none"/>
        </w:rPr>
      </w:pPr>
      <w:r>
        <w:rPr>
          <w:rFonts w:hint="eastAsia"/>
          <w:sz w:val="24"/>
          <w:highlight w:val="none"/>
        </w:rPr>
        <w:t xml:space="preserve">（七）若遇不可抗力因素造成设备损坏，经有关部门鉴定属实，承租方二日内向出租方说明情况，由承租方负责修复。 </w:t>
      </w:r>
    </w:p>
    <w:p>
      <w:pPr>
        <w:spacing w:line="400" w:lineRule="exact"/>
        <w:ind w:firstLine="480" w:firstLineChars="200"/>
        <w:rPr>
          <w:sz w:val="24"/>
          <w:highlight w:val="none"/>
        </w:rPr>
      </w:pPr>
      <w:r>
        <w:rPr>
          <w:rFonts w:hint="eastAsia"/>
          <w:sz w:val="24"/>
          <w:highlight w:val="none"/>
        </w:rPr>
        <w:t>（八）其他</w:t>
      </w:r>
    </w:p>
    <w:p>
      <w:pPr>
        <w:spacing w:after="93" w:afterLines="30"/>
        <w:ind w:firstLine="480" w:firstLineChars="200"/>
        <w:rPr>
          <w:sz w:val="24"/>
          <w:highlight w:val="none"/>
        </w:rPr>
      </w:pPr>
      <w:r>
        <w:rPr>
          <w:rFonts w:hint="eastAsia"/>
          <w:sz w:val="24"/>
          <w:highlight w:val="none"/>
        </w:rPr>
        <w:t xml:space="preserve"> 租赁期间，合同双方的任何一方均不得擅自修改或随意废除合同。本合同中如有未尽事宜，须经合同双方共同协商，作出补充规定，补充规定与本合同具有同等效力。凡与本合同有关的一切争议，甲乙双方应首先通过友好协商方式解决；如经协商后仍不能达成一致时，任何一方均可以向合同签订地法院提起诉讼。</w:t>
      </w:r>
    </w:p>
    <w:p>
      <w:pPr>
        <w:spacing w:line="400" w:lineRule="exact"/>
        <w:ind w:firstLine="480" w:firstLineChars="200"/>
        <w:rPr>
          <w:sz w:val="24"/>
          <w:highlight w:val="none"/>
        </w:rPr>
      </w:pPr>
      <w:r>
        <w:rPr>
          <w:rFonts w:hint="eastAsia"/>
          <w:sz w:val="24"/>
          <w:highlight w:val="none"/>
        </w:rPr>
        <w:t>本合同一式四份，出租方一份，承租方叁份。</w:t>
      </w:r>
    </w:p>
    <w:p>
      <w:pPr>
        <w:spacing w:line="400" w:lineRule="exact"/>
        <w:rPr>
          <w:sz w:val="24"/>
          <w:highlight w:val="none"/>
        </w:rPr>
      </w:pPr>
    </w:p>
    <w:p>
      <w:pPr>
        <w:spacing w:line="400" w:lineRule="exact"/>
        <w:rPr>
          <w:sz w:val="24"/>
          <w:highlight w:val="none"/>
        </w:rPr>
      </w:pPr>
      <w:r>
        <w:rPr>
          <w:rFonts w:hint="eastAsia"/>
          <w:sz w:val="24"/>
          <w:highlight w:val="none"/>
        </w:rPr>
        <w:t xml:space="preserve">出租方：                                承租方：                               </w:t>
      </w:r>
    </w:p>
    <w:p>
      <w:pPr>
        <w:spacing w:line="400" w:lineRule="exact"/>
        <w:rPr>
          <w:sz w:val="24"/>
          <w:highlight w:val="none"/>
        </w:rPr>
      </w:pPr>
      <w:r>
        <w:rPr>
          <w:rFonts w:hint="eastAsia"/>
          <w:sz w:val="24"/>
          <w:highlight w:val="none"/>
        </w:rPr>
        <w:t>代表人：                                代表人：</w:t>
      </w:r>
    </w:p>
    <w:p>
      <w:pPr>
        <w:spacing w:line="400" w:lineRule="exact"/>
        <w:rPr>
          <w:sz w:val="24"/>
          <w:highlight w:val="none"/>
        </w:rPr>
      </w:pPr>
      <w:r>
        <w:rPr>
          <w:rFonts w:hint="eastAsia"/>
          <w:sz w:val="24"/>
          <w:highlight w:val="none"/>
        </w:rPr>
        <w:t>经办人：                                经办人：</w:t>
      </w:r>
    </w:p>
    <w:p>
      <w:pPr>
        <w:spacing w:line="400" w:lineRule="exact"/>
        <w:ind w:firstLine="720" w:firstLineChars="300"/>
        <w:rPr>
          <w:sz w:val="24"/>
          <w:highlight w:val="none"/>
        </w:rPr>
      </w:pPr>
      <w:r>
        <w:rPr>
          <w:rFonts w:hint="eastAsia"/>
          <w:sz w:val="24"/>
          <w:highlight w:val="none"/>
        </w:rPr>
        <w:t>2024年  月 日                     2024年  月  日</w:t>
      </w:r>
    </w:p>
    <w:p>
      <w:pPr>
        <w:rPr>
          <w:rFonts w:ascii="方正小标宋简体" w:hAnsi="仿宋_GB2312" w:eastAsia="方正小标宋简体"/>
          <w:bCs/>
          <w:szCs w:val="44"/>
          <w:highlight w:val="none"/>
        </w:rPr>
      </w:pPr>
      <w:r>
        <w:rPr>
          <w:rFonts w:hint="eastAsia" w:ascii="方正小标宋简体" w:hAnsi="仿宋_GB2312" w:eastAsia="方正小标宋简体"/>
          <w:bCs/>
          <w:szCs w:val="44"/>
          <w:highlight w:val="none"/>
        </w:rPr>
        <w:br w:type="page"/>
      </w:r>
    </w:p>
    <w:p>
      <w:pPr>
        <w:pStyle w:val="2"/>
        <w:spacing w:before="0" w:after="0" w:line="660" w:lineRule="exact"/>
        <w:jc w:val="center"/>
        <w:rPr>
          <w:rFonts w:ascii="方正小标宋简体" w:hAnsi="仿宋_GB2312" w:eastAsia="方正小标宋简体"/>
          <w:b w:val="0"/>
          <w:bCs/>
          <w:szCs w:val="44"/>
          <w:highlight w:val="none"/>
        </w:rPr>
      </w:pPr>
      <w:r>
        <w:rPr>
          <w:rFonts w:hint="eastAsia" w:ascii="方正小标宋简体" w:hAnsi="仿宋_GB2312" w:eastAsia="方正小标宋简体"/>
          <w:b w:val="0"/>
          <w:bCs/>
          <w:szCs w:val="44"/>
          <w:highlight w:val="none"/>
        </w:rPr>
        <w:t>第四章  响应文件格式</w:t>
      </w:r>
      <w:bookmarkEnd w:id="11"/>
      <w:bookmarkEnd w:id="12"/>
      <w:bookmarkEnd w:id="13"/>
      <w:bookmarkEnd w:id="14"/>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5437"/>
      <w:bookmarkStart w:id="19" w:name="_Toc256691561"/>
      <w:r>
        <w:rPr>
          <w:rFonts w:hint="eastAsia" w:ascii="仿宋_GB2312" w:eastAsia="仿宋_GB2312"/>
          <w:b/>
          <w:bCs/>
          <w:sz w:val="36"/>
          <w:szCs w:val="36"/>
          <w:highlight w:val="none"/>
        </w:rPr>
        <w:t>(项目名称)</w:t>
      </w:r>
      <w:bookmarkEnd w:id="18"/>
      <w:bookmarkEnd w:id="19"/>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rPr>
        <w:t>响应文件</w:t>
      </w:r>
      <w:bookmarkEnd w:id="20"/>
      <w:bookmarkEnd w:id="21"/>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rPr>
        <w:t xml:space="preserve">         投标人：</w:t>
      </w:r>
      <w:bookmarkEnd w:id="24"/>
      <w:bookmarkEnd w:id="25"/>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9"/>
          <w:rFonts w:ascii="宋体" w:hAnsi="宋体" w:cstheme="minorBidi"/>
          <w:b w:val="0"/>
          <w:highlight w:val="none"/>
        </w:rPr>
      </w:pPr>
      <w:bookmarkStart w:id="28" w:name="_Toc96585094"/>
      <w:bookmarkStart w:id="29" w:name="_Toc96584968"/>
      <w:r>
        <w:rPr>
          <w:rStyle w:val="29"/>
          <w:rFonts w:hint="eastAsia" w:ascii="宋体" w:hAnsi="宋体" w:cstheme="minorBidi"/>
          <w:b w:val="0"/>
          <w:highlight w:val="none"/>
        </w:rPr>
        <w:t>目  录</w:t>
      </w:r>
      <w:bookmarkEnd w:id="28"/>
      <w:bookmarkEnd w:id="29"/>
    </w:p>
    <w:p>
      <w:pPr>
        <w:numPr>
          <w:ilvl w:val="0"/>
          <w:numId w:val="1"/>
        </w:numPr>
        <w:spacing w:line="240" w:lineRule="atLeast"/>
        <w:rPr>
          <w:rFonts w:ascii="宋体" w:hAnsi="宋体" w:cs="宋体"/>
          <w:sz w:val="32"/>
          <w:szCs w:val="32"/>
          <w:highlight w:val="none"/>
        </w:rPr>
      </w:pPr>
      <w:bookmarkStart w:id="30" w:name="_Toc256691586"/>
      <w:bookmarkStart w:id="31" w:name="_Toc256695462"/>
      <w:r>
        <w:rPr>
          <w:rFonts w:hint="eastAsia" w:ascii="宋体" w:hAnsi="宋体" w:cs="宋体"/>
          <w:sz w:val="32"/>
          <w:szCs w:val="32"/>
          <w:highlight w:val="none"/>
        </w:rPr>
        <w:t>投标函</w:t>
      </w:r>
      <w:bookmarkEnd w:id="30"/>
      <w:bookmarkEnd w:id="31"/>
    </w:p>
    <w:p>
      <w:pPr>
        <w:numPr>
          <w:ilvl w:val="0"/>
          <w:numId w:val="1"/>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pPr>
        <w:spacing w:line="240" w:lineRule="atLeast"/>
        <w:rPr>
          <w:rFonts w:ascii="宋体" w:hAnsi="宋体" w:cs="宋体"/>
          <w:sz w:val="32"/>
          <w:szCs w:val="32"/>
          <w:highlight w:val="none"/>
        </w:rPr>
      </w:pPr>
      <w:bookmarkStart w:id="32" w:name="_Toc256691587"/>
      <w:bookmarkStart w:id="33" w:name="_Toc256695463"/>
      <w:r>
        <w:rPr>
          <w:rFonts w:hint="eastAsia" w:ascii="宋体" w:hAnsi="宋体" w:cs="宋体"/>
          <w:sz w:val="32"/>
          <w:szCs w:val="32"/>
          <w:highlight w:val="none"/>
        </w:rPr>
        <w:t>三、法定代表人身份证明</w:t>
      </w:r>
      <w:bookmarkEnd w:id="32"/>
      <w:bookmarkEnd w:id="33"/>
      <w:r>
        <w:rPr>
          <w:rFonts w:hint="eastAsia" w:ascii="宋体" w:hAnsi="宋体" w:cs="宋体"/>
          <w:sz w:val="32"/>
          <w:szCs w:val="32"/>
          <w:highlight w:val="none"/>
        </w:rPr>
        <w:t>书</w:t>
      </w:r>
    </w:p>
    <w:p>
      <w:pPr>
        <w:spacing w:line="240" w:lineRule="atLeast"/>
        <w:rPr>
          <w:rFonts w:ascii="宋体" w:hAnsi="宋体" w:cs="宋体"/>
          <w:sz w:val="32"/>
          <w:szCs w:val="32"/>
          <w:highlight w:val="none"/>
        </w:rPr>
      </w:pPr>
      <w:bookmarkStart w:id="34" w:name="_Toc256691588"/>
      <w:bookmarkStart w:id="35" w:name="_Toc256695464"/>
      <w:r>
        <w:rPr>
          <w:rFonts w:hint="eastAsia" w:ascii="宋体" w:hAnsi="宋体" w:cs="宋体"/>
          <w:sz w:val="32"/>
          <w:szCs w:val="32"/>
          <w:highlight w:val="none"/>
        </w:rPr>
        <w:t>四、</w:t>
      </w:r>
      <w:bookmarkEnd w:id="15"/>
      <w:bookmarkEnd w:id="34"/>
      <w:bookmarkEnd w:id="35"/>
      <w:r>
        <w:rPr>
          <w:rFonts w:hint="eastAsia" w:ascii="宋体" w:hAnsi="宋体" w:cs="宋体"/>
          <w:sz w:val="32"/>
          <w:szCs w:val="32"/>
          <w:highlight w:val="none"/>
        </w:rPr>
        <w:t>法定代表人授权书</w:t>
      </w:r>
    </w:p>
    <w:p>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七、征信报告</w:t>
      </w:r>
    </w:p>
    <w:p>
      <w:pPr>
        <w:spacing w:line="240" w:lineRule="atLeast"/>
        <w:rPr>
          <w:rFonts w:ascii="宋体" w:hAnsi="宋体" w:cs="宋体"/>
          <w:sz w:val="32"/>
          <w:szCs w:val="32"/>
          <w:highlight w:val="none"/>
        </w:rPr>
      </w:pPr>
      <w:r>
        <w:rPr>
          <w:rFonts w:hint="eastAsia" w:ascii="宋体" w:hAnsi="宋体" w:cs="宋体"/>
          <w:sz w:val="32"/>
          <w:szCs w:val="32"/>
          <w:highlight w:val="none"/>
        </w:rPr>
        <w:t>八、业绩证明</w:t>
      </w:r>
    </w:p>
    <w:p>
      <w:pPr>
        <w:spacing w:line="240" w:lineRule="atLeast"/>
        <w:rPr>
          <w:rFonts w:ascii="宋体" w:hAnsi="宋体" w:cs="宋体"/>
          <w:sz w:val="32"/>
          <w:szCs w:val="32"/>
          <w:highlight w:val="none"/>
        </w:rPr>
      </w:pPr>
      <w:r>
        <w:rPr>
          <w:rFonts w:hint="eastAsia" w:ascii="宋体" w:hAnsi="宋体" w:cs="宋体"/>
          <w:sz w:val="32"/>
          <w:szCs w:val="32"/>
          <w:highlight w:val="none"/>
        </w:rPr>
        <w:t>九、资格证明文件</w:t>
      </w:r>
    </w:p>
    <w:p>
      <w:pPr>
        <w:spacing w:line="240" w:lineRule="atLeast"/>
        <w:rPr>
          <w:rFonts w:ascii="宋体" w:hAnsi="宋体" w:cs="宋体"/>
          <w:sz w:val="32"/>
          <w:szCs w:val="32"/>
          <w:highlight w:val="none"/>
        </w:rPr>
      </w:pPr>
    </w:p>
    <w:p>
      <w:pPr>
        <w:rPr>
          <w:rStyle w:val="29"/>
          <w:rFonts w:ascii="宋体" w:hAnsi="宋体"/>
          <w:b w:val="0"/>
          <w:highlight w:val="none"/>
        </w:rPr>
      </w:pPr>
      <w:r>
        <w:rPr>
          <w:rStyle w:val="29"/>
          <w:rFonts w:hint="eastAsia" w:ascii="宋体" w:hAnsi="宋体"/>
          <w:b w:val="0"/>
          <w:highlight w:val="none"/>
        </w:rPr>
        <w:br w:type="page"/>
      </w:r>
    </w:p>
    <w:p>
      <w:pPr>
        <w:jc w:val="center"/>
        <w:rPr>
          <w:rStyle w:val="29"/>
          <w:rFonts w:ascii="宋体" w:hAnsi="宋体"/>
          <w:b w:val="0"/>
          <w:highlight w:val="none"/>
        </w:rPr>
      </w:pPr>
      <w:r>
        <w:rPr>
          <w:rStyle w:val="29"/>
          <w:rFonts w:hint="eastAsia" w:ascii="宋体" w:hAnsi="宋体"/>
          <w:b w:val="0"/>
          <w:highlight w:val="none"/>
        </w:rPr>
        <w:t>一、</w:t>
      </w:r>
      <w:r>
        <w:rPr>
          <w:rStyle w:val="29"/>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（投标人全称）授权（全权代表姓名、职务、职称）为全权代表，参加贵方组织的（采购编号、项目名称）的有关活动，为此：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1.提供投标人须知规定的全部比选文件（正本[ 1 ]份，副本[1]份、电子版[ 1 ]份）。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2.提供按比选文件要求的货物/服务的报价。（详见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将按比选文件的规定履行全部责任和义务。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已详细审查全部比选文件，我们完全理解并同意放弃对比选文件提出质疑及/或争议的权利。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递交比选文件的有效期为自递交比选文件截止日起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6.如果在规定的递交比选文件截止时间后，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在响应有效期内撤回比选文件。</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愿意向贵方提供任何与该项比选文件有关的数据、情况和技术资料，完全理解贵方不一定接受最低价的比选文件或收到的任何比选文件。</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13.与本比选文件有关的一切往来通讯请寄：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投标人名称（盖章）：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投标人授权代表（签字）：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8"/>
        <w:spacing w:line="530" w:lineRule="exact"/>
        <w:rPr>
          <w:sz w:val="32"/>
          <w:szCs w:val="32"/>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rPr>
          <w:highlight w:val="none"/>
        </w:rPr>
      </w:pPr>
    </w:p>
    <w:p>
      <w:pPr>
        <w:pStyle w:val="7"/>
        <w:rPr>
          <w:highlight w:val="none"/>
        </w:rPr>
      </w:pPr>
    </w:p>
    <w:p>
      <w:pPr>
        <w:pStyle w:val="7"/>
        <w:rPr>
          <w:highlight w:val="none"/>
        </w:rPr>
      </w:pPr>
    </w:p>
    <w:p>
      <w:pPr>
        <w:jc w:val="center"/>
        <w:rPr>
          <w:rStyle w:val="29"/>
          <w:rFonts w:ascii="宋体" w:hAnsi="宋体" w:cstheme="minorBidi"/>
          <w:b w:val="0"/>
          <w:highlight w:val="none"/>
        </w:rPr>
      </w:pPr>
      <w:r>
        <w:rPr>
          <w:rStyle w:val="29"/>
          <w:rFonts w:hint="eastAsia" w:ascii="宋体" w:hAnsi="宋体" w:cstheme="minorBidi"/>
          <w:b w:val="0"/>
          <w:highlight w:val="none"/>
        </w:rPr>
        <w:t>二、陈3井、陈4井、陈5井老腔改造项目箱式变电站租赁报价表</w:t>
      </w:r>
    </w:p>
    <w:p>
      <w:pPr>
        <w:pStyle w:val="30"/>
        <w:rPr>
          <w:rFonts w:ascii="仿宋_GB2312" w:hAnsi="仿宋_GB2312" w:eastAsia="仿宋_GB2312" w:cs="仿宋_GB2312"/>
          <w:bCs/>
          <w:sz w:val="28"/>
          <w:szCs w:val="28"/>
          <w:highlight w:val="none"/>
        </w:rPr>
      </w:pPr>
    </w:p>
    <w:p>
      <w:pPr>
        <w:pStyle w:val="12"/>
        <w:snapToGrid w:val="0"/>
        <w:spacing w:line="360" w:lineRule="auto"/>
        <w:jc w:val="center"/>
        <w:outlineLvl w:val="1"/>
        <w:rPr>
          <w:rFonts w:hAnsi="Cambria"/>
          <w:b/>
          <w:sz w:val="32"/>
          <w:szCs w:val="32"/>
          <w:highlight w:val="none"/>
        </w:rPr>
      </w:pPr>
      <w:bookmarkStart w:id="36" w:name="_Toc9209"/>
      <w:bookmarkStart w:id="37" w:name="_Toc31897"/>
      <w:bookmarkStart w:id="38" w:name="_Toc1385"/>
      <w:bookmarkStart w:id="39" w:name="_Toc18522"/>
      <w:bookmarkStart w:id="40" w:name="_Toc7392"/>
      <w:r>
        <w:rPr>
          <w:rFonts w:hint="eastAsia" w:hAnsi="Cambria"/>
          <w:b/>
          <w:sz w:val="32"/>
          <w:szCs w:val="32"/>
          <w:highlight w:val="none"/>
        </w:rPr>
        <w:t>报价表</w:t>
      </w:r>
      <w:bookmarkEnd w:id="36"/>
      <w:bookmarkEnd w:id="37"/>
    </w:p>
    <w:tbl>
      <w:tblPr>
        <w:tblStyle w:val="2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19"/>
        <w:gridCol w:w="1869"/>
        <w:gridCol w:w="1117"/>
        <w:gridCol w:w="1268"/>
        <w:gridCol w:w="146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b/>
                <w:bCs/>
                <w:sz w:val="22"/>
                <w:szCs w:val="18"/>
                <w:highlight w:val="none"/>
              </w:rPr>
            </w:pPr>
            <w:r>
              <w:rPr>
                <w:rFonts w:hint="eastAsia"/>
                <w:b/>
                <w:bCs/>
                <w:sz w:val="22"/>
                <w:szCs w:val="18"/>
                <w:highlight w:val="none"/>
              </w:rPr>
              <w:t>序号</w:t>
            </w:r>
          </w:p>
        </w:tc>
        <w:tc>
          <w:tcPr>
            <w:tcW w:w="1319" w:type="dxa"/>
            <w:vAlign w:val="center"/>
          </w:tcPr>
          <w:p>
            <w:pPr>
              <w:spacing w:line="400" w:lineRule="exact"/>
              <w:jc w:val="center"/>
              <w:rPr>
                <w:b/>
                <w:bCs/>
                <w:sz w:val="22"/>
                <w:szCs w:val="18"/>
                <w:highlight w:val="none"/>
              </w:rPr>
            </w:pPr>
            <w:r>
              <w:rPr>
                <w:rFonts w:hint="eastAsia"/>
                <w:b/>
                <w:bCs/>
                <w:sz w:val="22"/>
                <w:szCs w:val="18"/>
                <w:highlight w:val="none"/>
              </w:rPr>
              <w:t>设备名称</w:t>
            </w:r>
          </w:p>
        </w:tc>
        <w:tc>
          <w:tcPr>
            <w:tcW w:w="1869" w:type="dxa"/>
            <w:vAlign w:val="center"/>
          </w:tcPr>
          <w:p>
            <w:pPr>
              <w:spacing w:line="400" w:lineRule="exact"/>
              <w:jc w:val="center"/>
              <w:rPr>
                <w:b/>
                <w:bCs/>
                <w:sz w:val="22"/>
                <w:szCs w:val="18"/>
                <w:highlight w:val="none"/>
              </w:rPr>
            </w:pPr>
            <w:r>
              <w:rPr>
                <w:rFonts w:hint="eastAsia"/>
                <w:b/>
                <w:bCs/>
                <w:sz w:val="22"/>
                <w:szCs w:val="18"/>
                <w:highlight w:val="none"/>
              </w:rPr>
              <w:t>规格型号</w:t>
            </w:r>
          </w:p>
        </w:tc>
        <w:tc>
          <w:tcPr>
            <w:tcW w:w="1117" w:type="dxa"/>
            <w:vAlign w:val="center"/>
          </w:tcPr>
          <w:p>
            <w:pPr>
              <w:spacing w:line="400" w:lineRule="exact"/>
              <w:jc w:val="center"/>
              <w:rPr>
                <w:b/>
                <w:bCs/>
                <w:sz w:val="22"/>
                <w:szCs w:val="18"/>
                <w:highlight w:val="none"/>
              </w:rPr>
            </w:pPr>
            <w:r>
              <w:rPr>
                <w:rFonts w:hint="eastAsia"/>
                <w:b/>
                <w:bCs/>
                <w:sz w:val="22"/>
                <w:szCs w:val="18"/>
                <w:highlight w:val="none"/>
              </w:rPr>
              <w:t>数量（台）</w:t>
            </w:r>
          </w:p>
        </w:tc>
        <w:tc>
          <w:tcPr>
            <w:tcW w:w="1268" w:type="dxa"/>
            <w:vAlign w:val="center"/>
          </w:tcPr>
          <w:p>
            <w:pPr>
              <w:spacing w:line="400" w:lineRule="exact"/>
              <w:jc w:val="center"/>
              <w:rPr>
                <w:b/>
                <w:bCs/>
                <w:sz w:val="22"/>
                <w:szCs w:val="18"/>
                <w:highlight w:val="none"/>
              </w:rPr>
            </w:pPr>
            <w:r>
              <w:rPr>
                <w:rFonts w:hint="eastAsia"/>
                <w:b/>
                <w:bCs/>
                <w:sz w:val="22"/>
                <w:szCs w:val="18"/>
                <w:highlight w:val="none"/>
              </w:rPr>
              <w:t>租金   （元）/月</w:t>
            </w:r>
            <w:r>
              <w:rPr>
                <w:b/>
                <w:bCs/>
                <w:sz w:val="22"/>
                <w:szCs w:val="18"/>
                <w:highlight w:val="none"/>
              </w:rPr>
              <w:t xml:space="preserve"> </w:t>
            </w:r>
          </w:p>
        </w:tc>
        <w:tc>
          <w:tcPr>
            <w:tcW w:w="1466" w:type="dxa"/>
            <w:vAlign w:val="center"/>
          </w:tcPr>
          <w:p>
            <w:pPr>
              <w:spacing w:line="400" w:lineRule="exact"/>
              <w:jc w:val="center"/>
              <w:rPr>
                <w:b/>
                <w:bCs/>
                <w:sz w:val="22"/>
                <w:szCs w:val="18"/>
                <w:highlight w:val="none"/>
              </w:rPr>
            </w:pPr>
            <w:r>
              <w:rPr>
                <w:rFonts w:hint="eastAsia"/>
                <w:b/>
                <w:bCs/>
                <w:sz w:val="22"/>
                <w:szCs w:val="18"/>
                <w:highlight w:val="none"/>
              </w:rPr>
              <w:t>金额（元）</w:t>
            </w:r>
          </w:p>
        </w:tc>
        <w:tc>
          <w:tcPr>
            <w:tcW w:w="1151" w:type="dxa"/>
            <w:vAlign w:val="center"/>
          </w:tcPr>
          <w:p>
            <w:pPr>
              <w:spacing w:line="400" w:lineRule="exact"/>
              <w:jc w:val="center"/>
              <w:rPr>
                <w:b/>
                <w:bCs/>
                <w:sz w:val="22"/>
                <w:szCs w:val="18"/>
                <w:highlight w:val="none"/>
              </w:rPr>
            </w:pPr>
            <w:r>
              <w:rPr>
                <w:rFonts w:hint="eastAsia"/>
                <w:b/>
                <w:bCs/>
                <w:sz w:val="22"/>
                <w:szCs w:val="18"/>
                <w:highlight w:val="none"/>
              </w:rPr>
              <w:t>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1</w:t>
            </w:r>
          </w:p>
        </w:tc>
        <w:tc>
          <w:tcPr>
            <w:tcW w:w="1319" w:type="dxa"/>
            <w:vAlign w:val="center"/>
          </w:tcPr>
          <w:p>
            <w:pPr>
              <w:spacing w:line="400" w:lineRule="exact"/>
              <w:jc w:val="center"/>
              <w:rPr>
                <w:sz w:val="22"/>
                <w:szCs w:val="18"/>
                <w:highlight w:val="none"/>
              </w:rPr>
            </w:pPr>
            <w:r>
              <w:rPr>
                <w:rFonts w:hint="eastAsia"/>
                <w:sz w:val="22"/>
                <w:szCs w:val="18"/>
                <w:highlight w:val="none"/>
              </w:rPr>
              <w:t>预装式箱式变电站</w:t>
            </w:r>
          </w:p>
        </w:tc>
        <w:tc>
          <w:tcPr>
            <w:tcW w:w="1869" w:type="dxa"/>
            <w:vAlign w:val="center"/>
          </w:tcPr>
          <w:p>
            <w:pPr>
              <w:spacing w:line="400" w:lineRule="exact"/>
              <w:jc w:val="center"/>
              <w:rPr>
                <w:sz w:val="22"/>
                <w:szCs w:val="18"/>
                <w:highlight w:val="none"/>
              </w:rPr>
            </w:pPr>
            <w:r>
              <w:rPr>
                <w:rFonts w:hint="eastAsia"/>
                <w:sz w:val="22"/>
                <w:szCs w:val="18"/>
                <w:highlight w:val="none"/>
              </w:rPr>
              <w:t xml:space="preserve">SS—1600KVA  </w:t>
            </w:r>
          </w:p>
          <w:p>
            <w:pPr>
              <w:spacing w:line="400" w:lineRule="exact"/>
              <w:jc w:val="center"/>
              <w:rPr>
                <w:sz w:val="22"/>
                <w:szCs w:val="18"/>
                <w:highlight w:val="none"/>
              </w:rPr>
            </w:pPr>
            <w:r>
              <w:rPr>
                <w:rFonts w:hint="eastAsia"/>
                <w:sz w:val="22"/>
                <w:szCs w:val="18"/>
                <w:highlight w:val="none"/>
              </w:rPr>
              <w:t>10:0.66KV:0.4KV</w:t>
            </w:r>
          </w:p>
        </w:tc>
        <w:tc>
          <w:tcPr>
            <w:tcW w:w="1117" w:type="dxa"/>
            <w:vAlign w:val="center"/>
          </w:tcPr>
          <w:p>
            <w:pPr>
              <w:spacing w:line="400" w:lineRule="exact"/>
              <w:jc w:val="center"/>
              <w:rPr>
                <w:sz w:val="22"/>
                <w:szCs w:val="18"/>
                <w:highlight w:val="none"/>
              </w:rPr>
            </w:pPr>
            <w:r>
              <w:rPr>
                <w:rFonts w:hint="eastAsia"/>
                <w:sz w:val="22"/>
                <w:szCs w:val="18"/>
                <w:highlight w:val="none"/>
              </w:rPr>
              <w:t>1台</w:t>
            </w:r>
          </w:p>
        </w:tc>
        <w:tc>
          <w:tcPr>
            <w:tcW w:w="1268" w:type="dxa"/>
            <w:vAlign w:val="center"/>
          </w:tcPr>
          <w:p>
            <w:pPr>
              <w:spacing w:line="400" w:lineRule="exact"/>
              <w:jc w:val="center"/>
              <w:rPr>
                <w:sz w:val="22"/>
                <w:szCs w:val="18"/>
                <w:highlight w:val="none"/>
              </w:rPr>
            </w:pPr>
          </w:p>
        </w:tc>
        <w:tc>
          <w:tcPr>
            <w:tcW w:w="1466" w:type="dxa"/>
            <w:vAlign w:val="center"/>
          </w:tcPr>
          <w:p>
            <w:pPr>
              <w:spacing w:line="400" w:lineRule="exact"/>
              <w:jc w:val="center"/>
              <w:rPr>
                <w:sz w:val="22"/>
                <w:szCs w:val="18"/>
                <w:highlight w:val="none"/>
              </w:rPr>
            </w:pPr>
            <w:r>
              <w:rPr>
                <w:rFonts w:hint="eastAsia"/>
                <w:sz w:val="22"/>
                <w:szCs w:val="18"/>
                <w:highlight w:val="none"/>
              </w:rPr>
              <w:t>据实结算</w:t>
            </w: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46" w:type="dxa"/>
            <w:vAlign w:val="center"/>
          </w:tcPr>
          <w:p>
            <w:pPr>
              <w:spacing w:line="400" w:lineRule="exact"/>
              <w:jc w:val="center"/>
              <w:rPr>
                <w:sz w:val="22"/>
                <w:szCs w:val="18"/>
                <w:highlight w:val="none"/>
              </w:rPr>
            </w:pPr>
          </w:p>
        </w:tc>
        <w:tc>
          <w:tcPr>
            <w:tcW w:w="1319" w:type="dxa"/>
            <w:vAlign w:val="center"/>
          </w:tcPr>
          <w:p>
            <w:pPr>
              <w:spacing w:line="400" w:lineRule="exact"/>
              <w:jc w:val="center"/>
              <w:rPr>
                <w:sz w:val="22"/>
                <w:szCs w:val="18"/>
                <w:highlight w:val="none"/>
              </w:rPr>
            </w:pPr>
            <w:r>
              <w:rPr>
                <w:rFonts w:hint="eastAsia"/>
                <w:sz w:val="22"/>
                <w:szCs w:val="18"/>
                <w:highlight w:val="none"/>
              </w:rPr>
              <w:t>合计</w:t>
            </w:r>
          </w:p>
        </w:tc>
        <w:tc>
          <w:tcPr>
            <w:tcW w:w="1869" w:type="dxa"/>
            <w:vAlign w:val="center"/>
          </w:tcPr>
          <w:p>
            <w:pPr>
              <w:spacing w:line="400" w:lineRule="exact"/>
              <w:jc w:val="center"/>
              <w:rPr>
                <w:sz w:val="22"/>
                <w:szCs w:val="18"/>
                <w:highlight w:val="none"/>
              </w:rPr>
            </w:pPr>
          </w:p>
        </w:tc>
        <w:tc>
          <w:tcPr>
            <w:tcW w:w="1117" w:type="dxa"/>
            <w:vAlign w:val="center"/>
          </w:tcPr>
          <w:p>
            <w:pPr>
              <w:spacing w:line="400" w:lineRule="exact"/>
              <w:jc w:val="center"/>
              <w:rPr>
                <w:sz w:val="22"/>
                <w:szCs w:val="18"/>
                <w:highlight w:val="none"/>
              </w:rPr>
            </w:pPr>
          </w:p>
        </w:tc>
        <w:tc>
          <w:tcPr>
            <w:tcW w:w="1268" w:type="dxa"/>
            <w:vAlign w:val="center"/>
          </w:tcPr>
          <w:p>
            <w:pPr>
              <w:spacing w:line="400" w:lineRule="exact"/>
              <w:jc w:val="center"/>
              <w:rPr>
                <w:sz w:val="22"/>
                <w:szCs w:val="18"/>
                <w:highlight w:val="none"/>
              </w:rPr>
            </w:pPr>
          </w:p>
        </w:tc>
        <w:tc>
          <w:tcPr>
            <w:tcW w:w="1466" w:type="dxa"/>
            <w:vAlign w:val="center"/>
          </w:tcPr>
          <w:p>
            <w:pPr>
              <w:spacing w:line="400" w:lineRule="exact"/>
              <w:jc w:val="center"/>
              <w:rPr>
                <w:sz w:val="22"/>
                <w:szCs w:val="18"/>
                <w:highlight w:val="none"/>
              </w:rPr>
            </w:pPr>
          </w:p>
        </w:tc>
        <w:tc>
          <w:tcPr>
            <w:tcW w:w="1151" w:type="dxa"/>
            <w:vAlign w:val="center"/>
          </w:tcPr>
          <w:p>
            <w:pPr>
              <w:spacing w:line="400" w:lineRule="exact"/>
              <w:jc w:val="center"/>
              <w:rPr>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46" w:type="dxa"/>
            <w:vAlign w:val="center"/>
          </w:tcPr>
          <w:p>
            <w:pPr>
              <w:spacing w:line="400" w:lineRule="exact"/>
              <w:jc w:val="center"/>
              <w:rPr>
                <w:sz w:val="22"/>
                <w:szCs w:val="18"/>
                <w:highlight w:val="none"/>
              </w:rPr>
            </w:pPr>
            <w:r>
              <w:rPr>
                <w:rFonts w:hint="eastAsia"/>
                <w:sz w:val="22"/>
                <w:szCs w:val="18"/>
                <w:highlight w:val="none"/>
              </w:rPr>
              <w:t>备注</w:t>
            </w:r>
          </w:p>
        </w:tc>
        <w:tc>
          <w:tcPr>
            <w:tcW w:w="8190" w:type="dxa"/>
            <w:gridSpan w:val="6"/>
            <w:vAlign w:val="center"/>
          </w:tcPr>
          <w:p>
            <w:pPr>
              <w:spacing w:line="400" w:lineRule="exact"/>
              <w:rPr>
                <w:sz w:val="22"/>
                <w:szCs w:val="18"/>
                <w:highlight w:val="none"/>
              </w:rPr>
            </w:pPr>
            <w:r>
              <w:rPr>
                <w:rFonts w:hint="eastAsia"/>
                <w:sz w:val="22"/>
                <w:szCs w:val="18"/>
                <w:highlight w:val="none"/>
              </w:rPr>
              <w:t>报价包含来回运费（工地现场吊装费除外），满足双方约定要求（以双方确认图纸为准），不承担停电损失，开票税率</w:t>
            </w:r>
            <w:r>
              <w:rPr>
                <w:rFonts w:hint="eastAsia"/>
                <w:sz w:val="22"/>
                <w:szCs w:val="18"/>
                <w:highlight w:val="none"/>
                <w:u w:val="single"/>
              </w:rPr>
              <w:t xml:space="preserve">     </w:t>
            </w:r>
            <w:r>
              <w:rPr>
                <w:rFonts w:hint="eastAsia"/>
                <w:sz w:val="2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8836" w:type="dxa"/>
            <w:gridSpan w:val="7"/>
            <w:vAlign w:val="center"/>
          </w:tcPr>
          <w:p>
            <w:pPr>
              <w:spacing w:line="400" w:lineRule="exact"/>
              <w:rPr>
                <w:sz w:val="22"/>
                <w:szCs w:val="18"/>
                <w:highlight w:val="none"/>
              </w:rPr>
            </w:pPr>
            <w:r>
              <w:rPr>
                <w:rFonts w:hint="eastAsia" w:hAnsi="宋体" w:cs="宋体"/>
                <w:kern w:val="0"/>
                <w:sz w:val="24"/>
                <w:szCs w:val="24"/>
                <w:highlight w:val="none"/>
                <w:lang w:bidi="ar"/>
              </w:rPr>
              <w:t>联系人：              联系电话：</w:t>
            </w:r>
          </w:p>
        </w:tc>
      </w:tr>
    </w:tbl>
    <w:p>
      <w:pPr>
        <w:pStyle w:val="12"/>
        <w:snapToGrid w:val="0"/>
        <w:spacing w:line="360" w:lineRule="auto"/>
        <w:jc w:val="center"/>
        <w:outlineLvl w:val="1"/>
        <w:rPr>
          <w:rFonts w:hAnsi="Cambria"/>
          <w:b/>
          <w:sz w:val="24"/>
          <w:szCs w:val="24"/>
          <w:highlight w:val="none"/>
        </w:rPr>
      </w:pPr>
    </w:p>
    <w:bookmarkEnd w:id="38"/>
    <w:bookmarkEnd w:id="39"/>
    <w:bookmarkEnd w:id="40"/>
    <w:p>
      <w:pPr>
        <w:pStyle w:val="7"/>
        <w:rPr>
          <w:highlight w:val="none"/>
        </w:rPr>
      </w:pPr>
    </w:p>
    <w:p>
      <w:pPr>
        <w:rPr>
          <w:rFonts w:ascii="Cambria" w:hAnsi="Cambria"/>
          <w:sz w:val="24"/>
          <w:highlight w:val="none"/>
        </w:rPr>
      </w:pPr>
      <w:r>
        <w:rPr>
          <w:rFonts w:hint="eastAsia" w:ascii="Cambria" w:hAnsi="Cambria"/>
          <w:sz w:val="24"/>
          <w:highlight w:val="none"/>
        </w:rPr>
        <w:br w:type="page"/>
      </w:r>
    </w:p>
    <w:p>
      <w:pPr>
        <w:spacing w:line="360" w:lineRule="auto"/>
        <w:jc w:val="center"/>
        <w:rPr>
          <w:rStyle w:val="29"/>
          <w:rFonts w:ascii="宋体" w:hAnsi="宋体" w:cstheme="minorBidi"/>
          <w:b w:val="0"/>
          <w:highlight w:val="none"/>
        </w:rPr>
      </w:pPr>
      <w:bookmarkStart w:id="41" w:name="_Toc1604"/>
      <w:r>
        <w:rPr>
          <w:rStyle w:val="29"/>
          <w:rFonts w:hint="eastAsia" w:ascii="宋体" w:hAnsi="宋体" w:cstheme="minorBidi"/>
          <w:b w:val="0"/>
          <w:highlight w:val="none"/>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（投标人名称）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投标人：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ascii="宋体" w:hAnsi="宋体" w:cstheme="minorBidi"/>
          <w:b w:val="0"/>
          <w:highlight w:val="none"/>
        </w:rPr>
      </w:pPr>
      <w:r>
        <w:rPr>
          <w:rStyle w:val="29"/>
          <w:rFonts w:hint="eastAsia" w:ascii="宋体" w:hAnsi="宋体" w:cstheme="minorBidi"/>
          <w:b w:val="0"/>
          <w:highlight w:val="none"/>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rPr>
        <w:t>投标人名称（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ascii="黑体" w:hAnsi="仿宋_GB2312" w:eastAsia="黑体"/>
          <w:bCs/>
          <w:kern w:val="44"/>
          <w:sz w:val="32"/>
          <w:szCs w:val="32"/>
          <w:highlight w:val="none"/>
        </w:rPr>
      </w:pPr>
    </w:p>
    <w:p>
      <w:pPr>
        <w:spacing w:line="360" w:lineRule="auto"/>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五、投标人廉洁承诺书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ascii="黑体" w:hAnsi="仿宋_GB2312" w:eastAsia="黑体"/>
          <w:bCs/>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六、近三年内在经营活动中无违法处罚记录承诺书</w:t>
      </w:r>
    </w:p>
    <w:p>
      <w:pPr>
        <w:spacing w:line="360" w:lineRule="auto"/>
        <w:ind w:firstLine="420"/>
        <w:rPr>
          <w:rFonts w:ascii="黑体" w:hAnsi="仿宋_GB2312" w:eastAsia="黑体"/>
          <w:b/>
          <w:bCs/>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color w:val="auto"/>
          <w:sz w:val="32"/>
          <w:szCs w:val="32"/>
          <w:highlight w:val="none"/>
        </w:rPr>
      </w:pPr>
    </w:p>
    <w:p>
      <w:pPr>
        <w:pStyle w:val="31"/>
        <w:rPr>
          <w:rFonts w:cs="宋体"/>
          <w:color w:val="auto"/>
          <w:sz w:val="32"/>
          <w:szCs w:val="32"/>
          <w:highlight w:val="none"/>
        </w:rPr>
      </w:pPr>
    </w:p>
    <w:p>
      <w:pPr>
        <w:pStyle w:val="31"/>
        <w:ind w:firstLine="3404" w:firstLineChars="1064"/>
        <w:jc w:val="right"/>
        <w:rPr>
          <w:rFonts w:cs="宋体"/>
          <w:color w:val="auto"/>
          <w:sz w:val="32"/>
          <w:szCs w:val="32"/>
          <w:highlight w:val="none"/>
        </w:rPr>
      </w:pPr>
      <w:r>
        <w:rPr>
          <w:rFonts w:hint="eastAsia" w:cs="宋体"/>
          <w:color w:val="auto"/>
          <w:sz w:val="32"/>
          <w:szCs w:val="32"/>
          <w:highlight w:val="none"/>
        </w:rPr>
        <w:t>单位负责人签字：</w:t>
      </w:r>
    </w:p>
    <w:p>
      <w:pPr>
        <w:pStyle w:val="31"/>
        <w:ind w:firstLine="6278" w:firstLineChars="1962"/>
        <w:jc w:val="right"/>
        <w:rPr>
          <w:rFonts w:cs="宋体"/>
          <w:color w:val="auto"/>
          <w:sz w:val="32"/>
          <w:szCs w:val="32"/>
          <w:highlight w:val="none"/>
        </w:rPr>
      </w:pPr>
      <w:r>
        <w:rPr>
          <w:rFonts w:hint="eastAsia" w:cs="宋体"/>
          <w:color w:val="auto"/>
          <w:sz w:val="32"/>
          <w:szCs w:val="32"/>
          <w:highlight w:val="none"/>
        </w:rPr>
        <w:t>公司盖章：</w:t>
      </w:r>
    </w:p>
    <w:p>
      <w:pPr>
        <w:pStyle w:val="31"/>
        <w:ind w:firstLine="3404" w:firstLineChars="1064"/>
        <w:jc w:val="right"/>
        <w:rPr>
          <w:rFonts w:cs="宋体"/>
          <w:color w:val="auto"/>
          <w:sz w:val="32"/>
          <w:szCs w:val="32"/>
          <w:highlight w:val="none"/>
        </w:rPr>
      </w:pPr>
      <w:r>
        <w:rPr>
          <w:rFonts w:hint="eastAsia" w:cs="宋体"/>
          <w:color w:val="auto"/>
          <w:sz w:val="32"/>
          <w:szCs w:val="32"/>
          <w:highlight w:val="none"/>
        </w:rPr>
        <w:t>日期：</w:t>
      </w:r>
    </w:p>
    <w:p>
      <w:pPr>
        <w:pStyle w:val="19"/>
        <w:jc w:val="right"/>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pStyle w:val="19"/>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pStyle w:val="19"/>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pStyle w:val="19"/>
        <w:rPr>
          <w:rFonts w:ascii="黑体" w:hAnsi="仿宋_GB2312" w:eastAsia="黑体"/>
          <w:b/>
          <w:bCs/>
          <w:kern w:val="44"/>
          <w:sz w:val="32"/>
          <w:szCs w:val="32"/>
          <w:highlight w:val="none"/>
        </w:rPr>
      </w:pPr>
    </w:p>
    <w:p>
      <w:pPr>
        <w:rPr>
          <w:rFonts w:ascii="黑体" w:hAnsi="仿宋_GB2312" w:eastAsia="黑体"/>
          <w:b/>
          <w:bCs/>
          <w:kern w:val="44"/>
          <w:sz w:val="32"/>
          <w:szCs w:val="32"/>
          <w:highlight w:val="none"/>
        </w:rPr>
      </w:pPr>
    </w:p>
    <w:p>
      <w:pPr>
        <w:rPr>
          <w:rFonts w:ascii="黑体" w:hAnsi="仿宋_GB2312" w:eastAsia="黑体"/>
          <w:bCs/>
          <w:kern w:val="44"/>
          <w:sz w:val="32"/>
          <w:szCs w:val="32"/>
          <w:highlight w:val="none"/>
        </w:rPr>
      </w:pPr>
      <w:r>
        <w:rPr>
          <w:rFonts w:hint="eastAsia" w:ascii="黑体" w:hAnsi="仿宋_GB2312" w:eastAsia="黑体"/>
          <w:b/>
          <w:bCs/>
          <w:kern w:val="44"/>
          <w:sz w:val="32"/>
          <w:szCs w:val="32"/>
          <w:highlight w:val="none"/>
        </w:rPr>
        <w:br w:type="page"/>
      </w:r>
    </w:p>
    <w:p>
      <w:pPr>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七、征信报告（在国家征信平台上下载报告）</w:t>
      </w:r>
    </w:p>
    <w:p>
      <w:pPr>
        <w:rPr>
          <w:rFonts w:ascii="黑体" w:hAnsi="仿宋_GB2312" w:eastAsia="黑体"/>
          <w:b/>
          <w:bCs/>
          <w:kern w:val="44"/>
          <w:sz w:val="32"/>
          <w:szCs w:val="32"/>
          <w:highlight w:val="none"/>
        </w:rPr>
      </w:pPr>
      <w:r>
        <w:rPr>
          <w:rFonts w:hint="eastAsia" w:ascii="黑体" w:hAnsi="仿宋_GB2312" w:eastAsia="黑体"/>
          <w:b/>
          <w:bCs/>
          <w:kern w:val="44"/>
          <w:sz w:val="32"/>
          <w:szCs w:val="32"/>
          <w:highlight w:val="none"/>
        </w:rPr>
        <w:br w:type="page"/>
      </w:r>
    </w:p>
    <w:p>
      <w:pPr>
        <w:pStyle w:val="30"/>
        <w:spacing w:line="560" w:lineRule="exact"/>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八、业绩证明（附合同）</w:t>
      </w:r>
    </w:p>
    <w:p>
      <w:pPr>
        <w:pStyle w:val="30"/>
        <w:spacing w:line="560" w:lineRule="exact"/>
        <w:jc w:val="center"/>
        <w:rPr>
          <w:rFonts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rPr>
          <w:rFonts w:ascii="黑体" w:hAnsi="仿宋_GB2312" w:eastAsia="黑体"/>
          <w:bCs/>
          <w:kern w:val="44"/>
          <w:sz w:val="32"/>
          <w:szCs w:val="32"/>
          <w:highlight w:val="none"/>
        </w:rPr>
      </w:pPr>
    </w:p>
    <w:p>
      <w:pPr>
        <w:pStyle w:val="18"/>
        <w:rPr>
          <w:rFonts w:ascii="黑体" w:hAnsi="仿宋_GB2312" w:eastAsia="黑体"/>
          <w:bCs/>
          <w:kern w:val="44"/>
          <w:sz w:val="32"/>
          <w:szCs w:val="32"/>
          <w:highlight w:val="none"/>
        </w:rPr>
      </w:pPr>
    </w:p>
    <w:p>
      <w:pPr>
        <w:rPr>
          <w:rFonts w:ascii="黑体" w:hAnsi="仿宋_GB2312" w:eastAsia="黑体"/>
          <w:bCs/>
          <w:kern w:val="44"/>
          <w:sz w:val="32"/>
          <w:szCs w:val="32"/>
          <w:highlight w:val="none"/>
        </w:rPr>
      </w:pPr>
    </w:p>
    <w:p>
      <w:pPr>
        <w:pStyle w:val="18"/>
        <w:rPr>
          <w:rFonts w:ascii="黑体" w:hAnsi="仿宋_GB2312" w:eastAsia="黑体"/>
          <w:bCs/>
          <w:kern w:val="44"/>
          <w:sz w:val="32"/>
          <w:szCs w:val="32"/>
          <w:highlight w:val="none"/>
        </w:rPr>
      </w:pPr>
    </w:p>
    <w:p>
      <w:pPr>
        <w:rPr>
          <w:rFonts w:ascii="黑体" w:hAnsi="仿宋_GB2312" w:eastAsia="黑体"/>
          <w:bCs/>
          <w:kern w:val="44"/>
          <w:sz w:val="32"/>
          <w:szCs w:val="32"/>
          <w:highlight w:val="none"/>
        </w:rPr>
      </w:pPr>
    </w:p>
    <w:p>
      <w:pPr>
        <w:rPr>
          <w:highlight w:val="none"/>
        </w:rPr>
      </w:pPr>
    </w:p>
    <w:p>
      <w:pPr>
        <w:spacing w:line="360" w:lineRule="auto"/>
        <w:jc w:val="center"/>
        <w:rPr>
          <w:rFonts w:ascii="黑体" w:hAnsi="仿宋_GB2312" w:eastAsia="黑体"/>
          <w:bCs/>
          <w:kern w:val="44"/>
          <w:sz w:val="32"/>
          <w:szCs w:val="32"/>
          <w:highlight w:val="none"/>
        </w:rPr>
      </w:pPr>
    </w:p>
    <w:p>
      <w:pPr>
        <w:spacing w:line="360" w:lineRule="auto"/>
        <w:jc w:val="center"/>
        <w:rPr>
          <w:rFonts w:ascii="黑体" w:hAnsi="仿宋_GB2312" w:eastAsia="黑体"/>
          <w:bCs/>
          <w:kern w:val="44"/>
          <w:sz w:val="32"/>
          <w:szCs w:val="32"/>
          <w:highlight w:val="none"/>
        </w:rPr>
      </w:pPr>
      <w:r>
        <w:rPr>
          <w:rFonts w:hint="eastAsia" w:ascii="黑体" w:hAnsi="仿宋_GB2312" w:eastAsia="黑体"/>
          <w:bCs/>
          <w:kern w:val="44"/>
          <w:sz w:val="32"/>
          <w:szCs w:val="32"/>
          <w:highlight w:val="none"/>
        </w:rPr>
        <w:t>九、资格证明文件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资格证明文件（需加盖公章，否则无效）</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rPr>
        <w:t>3、其他资格证明文件。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146897"/>
    <w:rsid w:val="00A72548"/>
    <w:rsid w:val="00B4020B"/>
    <w:rsid w:val="00CB13C3"/>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AA3935"/>
    <w:rsid w:val="18E13BCB"/>
    <w:rsid w:val="18FE652B"/>
    <w:rsid w:val="190C2DD0"/>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9F86FC6"/>
    <w:rsid w:val="2A642EB7"/>
    <w:rsid w:val="2A922F77"/>
    <w:rsid w:val="2AB6787F"/>
    <w:rsid w:val="2B2008F4"/>
    <w:rsid w:val="2B473D61"/>
    <w:rsid w:val="2C043A01"/>
    <w:rsid w:val="2D0D7727"/>
    <w:rsid w:val="2E1C77D8"/>
    <w:rsid w:val="2E287309"/>
    <w:rsid w:val="2F3E2306"/>
    <w:rsid w:val="2FCD4A51"/>
    <w:rsid w:val="2FCF2577"/>
    <w:rsid w:val="301B57BD"/>
    <w:rsid w:val="303B5E5F"/>
    <w:rsid w:val="30AF2473"/>
    <w:rsid w:val="31AF3769"/>
    <w:rsid w:val="31D200FD"/>
    <w:rsid w:val="32221084"/>
    <w:rsid w:val="331E37FE"/>
    <w:rsid w:val="33C20973"/>
    <w:rsid w:val="33EA3E24"/>
    <w:rsid w:val="349268AC"/>
    <w:rsid w:val="357716E7"/>
    <w:rsid w:val="37164F30"/>
    <w:rsid w:val="37712166"/>
    <w:rsid w:val="3A2B41AB"/>
    <w:rsid w:val="3A414072"/>
    <w:rsid w:val="3B0D471D"/>
    <w:rsid w:val="3F446ADE"/>
    <w:rsid w:val="3F63082C"/>
    <w:rsid w:val="40EC2DAE"/>
    <w:rsid w:val="410E3013"/>
    <w:rsid w:val="41447783"/>
    <w:rsid w:val="41D43885"/>
    <w:rsid w:val="41D852BC"/>
    <w:rsid w:val="42273C15"/>
    <w:rsid w:val="423A703E"/>
    <w:rsid w:val="42AD499A"/>
    <w:rsid w:val="42CE4911"/>
    <w:rsid w:val="43923B90"/>
    <w:rsid w:val="440737E0"/>
    <w:rsid w:val="454113CA"/>
    <w:rsid w:val="4597723C"/>
    <w:rsid w:val="46357180"/>
    <w:rsid w:val="474A5ABA"/>
    <w:rsid w:val="476A1B83"/>
    <w:rsid w:val="47D209FF"/>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525948"/>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8F93A73"/>
    <w:rsid w:val="6954706E"/>
    <w:rsid w:val="69DF102E"/>
    <w:rsid w:val="6A2971B4"/>
    <w:rsid w:val="6B030D4C"/>
    <w:rsid w:val="6B2B3DFF"/>
    <w:rsid w:val="6B6C069F"/>
    <w:rsid w:val="6C3A6666"/>
    <w:rsid w:val="6D0B32B6"/>
    <w:rsid w:val="6D0E5786"/>
    <w:rsid w:val="6D415B5B"/>
    <w:rsid w:val="6E054DDB"/>
    <w:rsid w:val="6E5D0773"/>
    <w:rsid w:val="6F63625D"/>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ACB6FE8"/>
    <w:rsid w:val="7C6D4277"/>
    <w:rsid w:val="7CB02EB4"/>
    <w:rsid w:val="7CB24FCC"/>
    <w:rsid w:val="7E941F8F"/>
    <w:rsid w:val="7FB31A1B"/>
    <w:rsid w:val="7FDFE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1079</Words>
  <Characters>6154</Characters>
  <Lines>51</Lines>
  <Paragraphs>14</Paragraphs>
  <TotalTime>55</TotalTime>
  <ScaleCrop>false</ScaleCrop>
  <LinksUpToDate>false</LinksUpToDate>
  <CharactersWithSpaces>7219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2023-03-12T19:20:00Z</dcterms:created>
  <dc:creator>乔辰生</dc:creator>
  <cp:lastModifiedBy>梦里花落U知多少</cp:lastModifiedBy>
  <dcterms:modified xsi:type="dcterms:W3CDTF">2024-06-13T08:38:42Z</dcterms:modified>
  <dc:title>陈3井、陈4井、陈5井老腔改造项目箱式变电站租赁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