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spacing w:before="0" w:after="0" w:line="360" w:lineRule="auto"/>
        <w:rPr>
          <w:rFonts w:hint="eastAsia"/>
          <w:kern w:val="2"/>
          <w:highlight w:val="none"/>
        </w:rPr>
      </w:pPr>
      <w:bookmarkStart w:id="0" w:name="_Toc67627991"/>
    </w:p>
    <w:p>
      <w:pPr>
        <w:spacing w:line="360" w:lineRule="auto"/>
        <w:jc w:val="center"/>
        <w:rPr>
          <w:rFonts w:hint="eastAsia" w:ascii="宋体" w:hAnsi="宋体" w:eastAsia="宋体" w:cs="宋体"/>
          <w:sz w:val="44"/>
          <w:szCs w:val="44"/>
          <w:highlight w:val="none"/>
        </w:rPr>
      </w:pPr>
      <w:r>
        <w:rPr>
          <w:rFonts w:hint="eastAsia" w:ascii="黑体" w:hAnsi="宋体" w:eastAsia="黑体"/>
          <w:b/>
          <w:sz w:val="56"/>
          <w:szCs w:val="56"/>
          <w:highlight w:val="none"/>
        </w:rPr>
        <w:t>江苏长江地质勘查院螺杆采购</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公开比选文件</w:t>
      </w:r>
    </w:p>
    <w:p>
      <w:pPr>
        <w:spacing w:line="360" w:lineRule="auto"/>
        <w:rPr>
          <w:rFonts w:hint="eastAsia" w:ascii="宋体" w:hAnsi="宋体" w:eastAsia="仿宋_GB2312"/>
          <w:b/>
          <w:sz w:val="32"/>
          <w:szCs w:val="32"/>
          <w:highlight w:val="none"/>
        </w:rPr>
      </w:pPr>
    </w:p>
    <w:p>
      <w:pPr>
        <w:spacing w:line="360" w:lineRule="auto"/>
        <w:jc w:val="center"/>
        <w:rPr>
          <w:rFonts w:hint="eastAsia" w:ascii="宋体" w:hAnsi="宋体"/>
          <w:b/>
          <w:sz w:val="32"/>
          <w:szCs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pStyle w:val="2"/>
        <w:ind w:firstLine="0"/>
        <w:rPr>
          <w:rFonts w:hint="eastAsia" w:ascii="宋体" w:hAnsi="宋体"/>
          <w:highlight w:val="none"/>
        </w:rPr>
      </w:pPr>
    </w:p>
    <w:p>
      <w:pPr>
        <w:pStyle w:val="3"/>
        <w:ind w:firstLine="643" w:firstLineChars="200"/>
        <w:jc w:val="center"/>
        <w:rPr>
          <w:rFonts w:hint="eastAsia" w:ascii="黑体" w:hAnsi="黑体" w:eastAsia="黑体" w:cs="黑体"/>
          <w:b/>
          <w:sz w:val="32"/>
          <w:highlight w:val="none"/>
        </w:rPr>
      </w:pPr>
    </w:p>
    <w:p>
      <w:pPr>
        <w:pStyle w:val="3"/>
        <w:ind w:firstLine="643" w:firstLineChars="200"/>
        <w:jc w:val="center"/>
        <w:rPr>
          <w:rFonts w:hint="eastAsia" w:ascii="黑体" w:hAnsi="黑体" w:eastAsia="黑体" w:cs="黑体"/>
          <w:b/>
          <w:sz w:val="32"/>
          <w:highlight w:val="none"/>
        </w:rPr>
      </w:pPr>
    </w:p>
    <w:p>
      <w:pPr>
        <w:pStyle w:val="3"/>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二〇二四年八月</w:t>
      </w:r>
    </w:p>
    <w:bookmarkEnd w:id="0"/>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rPr>
        <w:t>第一章 江苏长江地质勘查院</w:t>
      </w:r>
      <w:bookmarkStart w:id="3" w:name="_Toc8924"/>
      <w:bookmarkStart w:id="4" w:name="_Toc24572"/>
      <w:r>
        <w:rPr>
          <w:rFonts w:hint="eastAsia" w:ascii="方正小标宋简体" w:hAnsi="仿宋_GB2312" w:eastAsia="方正小标宋简体"/>
          <w:b w:val="0"/>
          <w:bCs/>
          <w:color w:val="000000"/>
          <w:szCs w:val="44"/>
          <w:highlight w:val="none"/>
        </w:rPr>
        <w:t>螺杆采购公告</w:t>
      </w:r>
      <w:bookmarkEnd w:id="1"/>
      <w:bookmarkEnd w:id="2"/>
      <w:bookmarkEnd w:id="3"/>
      <w:bookmarkEnd w:id="4"/>
    </w:p>
    <w:p>
      <w:pPr>
        <w:jc w:val="center"/>
        <w:rPr>
          <w:highlight w:val="none"/>
        </w:rPr>
      </w:pP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1.项目名称：江苏长江地质勘查院螺杆采购。</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2</w:t>
      </w:r>
      <w:r>
        <w:rPr>
          <w:rFonts w:hint="eastAsia" w:ascii="仿宋_GB2312" w:hAnsi="宋体" w:eastAsia="仿宋_GB2312"/>
          <w:snapToGrid w:val="0"/>
          <w:sz w:val="32"/>
          <w:szCs w:val="32"/>
          <w:highlight w:val="none"/>
          <w:lang w:val="en-US" w:eastAsia="zh-CN"/>
        </w:rPr>
        <w:t>.</w:t>
      </w:r>
      <w:r>
        <w:rPr>
          <w:rFonts w:hint="eastAsia" w:ascii="仿宋_GB2312" w:hAnsi="宋体" w:eastAsia="仿宋_GB2312"/>
          <w:snapToGrid w:val="0"/>
          <w:sz w:val="32"/>
          <w:szCs w:val="32"/>
          <w:highlight w:val="none"/>
        </w:rPr>
        <w:t>货物规格：</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15"/>
        <w:gridCol w:w="2256"/>
        <w:gridCol w:w="1268"/>
        <w:gridCol w:w="1133"/>
        <w:gridCol w:w="84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序号</w:t>
            </w:r>
          </w:p>
        </w:tc>
        <w:tc>
          <w:tcPr>
            <w:tcW w:w="1115"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名称</w:t>
            </w:r>
          </w:p>
        </w:tc>
        <w:tc>
          <w:tcPr>
            <w:tcW w:w="2256"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规格型号</w:t>
            </w:r>
          </w:p>
        </w:tc>
        <w:tc>
          <w:tcPr>
            <w:tcW w:w="1268"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扶正器规格</w:t>
            </w:r>
          </w:p>
        </w:tc>
        <w:tc>
          <w:tcPr>
            <w:tcW w:w="1133"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接头规格</w:t>
            </w:r>
          </w:p>
        </w:tc>
        <w:tc>
          <w:tcPr>
            <w:tcW w:w="844"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采购数量</w:t>
            </w:r>
          </w:p>
        </w:tc>
        <w:tc>
          <w:tcPr>
            <w:tcW w:w="1171"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2256"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-1.25°</w:t>
            </w: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844"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4</w:t>
            </w:r>
          </w:p>
        </w:tc>
        <w:tc>
          <w:tcPr>
            <w:tcW w:w="1171" w:type="dxa"/>
            <w:vAlign w:val="center"/>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2256"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-1.5°</w:t>
            </w: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844"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w:t>
            </w:r>
          </w:p>
        </w:tc>
        <w:tc>
          <w:tcPr>
            <w:tcW w:w="1171" w:type="dxa"/>
            <w:vAlign w:val="center"/>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3</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2256"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-1.75°</w:t>
            </w: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844"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1171" w:type="dxa"/>
            <w:vAlign w:val="center"/>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4</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120螺杆</w:t>
            </w:r>
          </w:p>
        </w:tc>
        <w:tc>
          <w:tcPr>
            <w:tcW w:w="2256"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-1.5°</w:t>
            </w: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无扶正器</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330-310</w:t>
            </w:r>
          </w:p>
        </w:tc>
        <w:tc>
          <w:tcPr>
            <w:tcW w:w="844"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1171"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不带旁通阀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5</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172直螺杆</w:t>
            </w:r>
          </w:p>
        </w:tc>
        <w:tc>
          <w:tcPr>
            <w:tcW w:w="2256" w:type="dxa"/>
            <w:vAlign w:val="center"/>
          </w:tcPr>
          <w:p>
            <w:pPr>
              <w:jc w:val="left"/>
              <w:rPr>
                <w:rFonts w:ascii="仿宋_GB2312" w:hAnsi="宋体" w:eastAsia="仿宋_GB2312"/>
                <w:snapToGrid w:val="0"/>
                <w:sz w:val="24"/>
                <w:szCs w:val="24"/>
                <w:highlight w:val="none"/>
              </w:rPr>
            </w:pP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无扶正器</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接头扣型430-410</w:t>
            </w:r>
          </w:p>
        </w:tc>
        <w:tc>
          <w:tcPr>
            <w:tcW w:w="844"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1</w:t>
            </w:r>
          </w:p>
        </w:tc>
        <w:tc>
          <w:tcPr>
            <w:tcW w:w="1171" w:type="dxa"/>
            <w:vAlign w:val="center"/>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6</w:t>
            </w:r>
          </w:p>
        </w:tc>
        <w:tc>
          <w:tcPr>
            <w:tcW w:w="1115"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120直螺杆</w:t>
            </w:r>
          </w:p>
        </w:tc>
        <w:tc>
          <w:tcPr>
            <w:tcW w:w="2256" w:type="dxa"/>
            <w:vAlign w:val="center"/>
          </w:tcPr>
          <w:p>
            <w:pPr>
              <w:jc w:val="left"/>
              <w:rPr>
                <w:rFonts w:ascii="仿宋_GB2312" w:hAnsi="宋体" w:eastAsia="仿宋_GB2312"/>
                <w:snapToGrid w:val="0"/>
                <w:sz w:val="24"/>
                <w:szCs w:val="24"/>
                <w:highlight w:val="none"/>
              </w:rPr>
            </w:pPr>
          </w:p>
        </w:tc>
        <w:tc>
          <w:tcPr>
            <w:tcW w:w="1268"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无扶正器</w:t>
            </w:r>
          </w:p>
        </w:tc>
        <w:tc>
          <w:tcPr>
            <w:tcW w:w="1133"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接头扣型330-310</w:t>
            </w:r>
          </w:p>
        </w:tc>
        <w:tc>
          <w:tcPr>
            <w:tcW w:w="844"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1</w:t>
            </w:r>
          </w:p>
        </w:tc>
        <w:tc>
          <w:tcPr>
            <w:tcW w:w="1171" w:type="dxa"/>
            <w:vAlign w:val="center"/>
          </w:tcPr>
          <w:p>
            <w:pPr>
              <w:jc w:val="center"/>
              <w:rPr>
                <w:rFonts w:hint="eastAsia" w:ascii="仿宋_GB2312" w:hAnsi="宋体" w:eastAsia="仿宋_GB2312"/>
                <w:snapToGrid w:val="0"/>
                <w:sz w:val="24"/>
                <w:szCs w:val="24"/>
                <w:highlight w:val="none"/>
              </w:rPr>
            </w:pPr>
          </w:p>
        </w:tc>
      </w:tr>
    </w:tbl>
    <w:p>
      <w:pPr>
        <w:spacing w:line="560" w:lineRule="exact"/>
        <w:ind w:firstLine="482" w:firstLineChars="200"/>
        <w:rPr>
          <w:rFonts w:hint="eastAsia" w:ascii="仿宋_GB2312" w:hAnsi="宋体" w:eastAsia="仿宋_GB2312"/>
          <w:b/>
          <w:bCs/>
          <w:snapToGrid w:val="0"/>
          <w:sz w:val="24"/>
          <w:szCs w:val="24"/>
          <w:highlight w:val="none"/>
        </w:rPr>
      </w:pPr>
      <w:r>
        <w:rPr>
          <w:rFonts w:hint="eastAsia" w:ascii="仿宋_GB2312" w:hAnsi="宋体" w:eastAsia="仿宋_GB2312"/>
          <w:b/>
          <w:bCs/>
          <w:snapToGrid w:val="0"/>
          <w:sz w:val="24"/>
          <w:szCs w:val="24"/>
          <w:highlight w:val="none"/>
        </w:rPr>
        <w:t>备注：投标人中标后默认接受招标方免费更换螺杆度数的要求</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3</w:t>
      </w:r>
      <w:r>
        <w:rPr>
          <w:rFonts w:hint="eastAsia" w:ascii="仿宋_GB2312" w:hAnsi="宋体" w:eastAsia="仿宋_GB2312"/>
          <w:snapToGrid w:val="0"/>
          <w:sz w:val="32"/>
          <w:szCs w:val="32"/>
          <w:highlight w:val="none"/>
          <w:lang w:val="en-US" w:eastAsia="zh-CN"/>
        </w:rPr>
        <w:t>.</w:t>
      </w:r>
      <w:r>
        <w:rPr>
          <w:rFonts w:hint="eastAsia" w:ascii="仿宋_GB2312" w:hAnsi="宋体" w:eastAsia="仿宋_GB2312"/>
          <w:snapToGrid w:val="0"/>
          <w:sz w:val="32"/>
          <w:szCs w:val="32"/>
          <w:highlight w:val="none"/>
        </w:rPr>
        <w:t>送货地址：河北省邢台市宁晋县。</w:t>
      </w:r>
    </w:p>
    <w:p>
      <w:pPr>
        <w:pStyle w:val="8"/>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4.供货时间：甲方通知后3日送到施工现场。</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5.质量要求：满足</w:t>
      </w:r>
      <w:r>
        <w:rPr>
          <w:rFonts w:ascii="仿宋_GB2312" w:hAnsi="宋体" w:eastAsia="仿宋_GB2312"/>
          <w:snapToGrid w:val="0"/>
          <w:sz w:val="32"/>
          <w:szCs w:val="32"/>
          <w:highlight w:val="none"/>
        </w:rPr>
        <w:t>SY/T5383-2010</w:t>
      </w:r>
      <w:r>
        <w:rPr>
          <w:rFonts w:hint="eastAsia" w:ascii="仿宋_GB2312" w:hAnsi="宋体" w:eastAsia="仿宋_GB2312"/>
          <w:snapToGrid w:val="0"/>
          <w:sz w:val="32"/>
          <w:szCs w:val="32"/>
          <w:highlight w:val="none"/>
        </w:rPr>
        <w:t>，符合甲方要求。</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.评标办法为合理低价中标。</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.其他要求详见比选文件。</w:t>
      </w:r>
    </w:p>
    <w:p>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pStyle w:val="8"/>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2.财务要求：</w:t>
      </w:r>
      <w:r>
        <w:rPr>
          <w:rFonts w:ascii="仿宋_GB2312" w:hAnsi="宋体" w:eastAsia="仿宋_GB2312"/>
          <w:snapToGrid w:val="0"/>
          <w:kern w:val="2"/>
          <w:sz w:val="32"/>
          <w:szCs w:val="32"/>
          <w:highlight w:val="none"/>
        </w:rPr>
        <w:t>投标人必须是经税务部门注册登记核准的增值税一般纳税人，有依法纳税的良好记录，</w:t>
      </w:r>
      <w:r>
        <w:rPr>
          <w:rFonts w:hint="eastAsia" w:ascii="仿宋_GB2312" w:hAnsi="宋体" w:eastAsia="仿宋_GB2312"/>
          <w:snapToGrid w:val="0"/>
          <w:kern w:val="2"/>
          <w:sz w:val="32"/>
          <w:szCs w:val="32"/>
          <w:highlight w:val="none"/>
        </w:rPr>
        <w:t>财务、资信状况良好，满足履行本项目的需要</w:t>
      </w:r>
      <w:r>
        <w:rPr>
          <w:rFonts w:ascii="仿宋_GB2312" w:hAnsi="宋体" w:eastAsia="仿宋_GB2312"/>
          <w:snapToGrid w:val="0"/>
          <w:kern w:val="2"/>
          <w:sz w:val="32"/>
          <w:szCs w:val="32"/>
          <w:highlight w:val="none"/>
        </w:rPr>
        <w:t>。</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lang w:val="en-US" w:eastAsia="zh-CN"/>
        </w:rPr>
        <w:t>3</w:t>
      </w:r>
      <w:r>
        <w:rPr>
          <w:rFonts w:hint="eastAsia" w:ascii="仿宋_GB2312" w:hAnsi="宋体" w:eastAsia="仿宋_GB2312" w:cs="Times New Roman"/>
          <w:snapToGrid w:val="0"/>
          <w:kern w:val="2"/>
          <w:sz w:val="32"/>
          <w:szCs w:val="32"/>
          <w:highlight w:val="none"/>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lang w:val="en-US" w:eastAsia="zh-CN"/>
        </w:rPr>
        <w:t>4</w:t>
      </w:r>
      <w:r>
        <w:rPr>
          <w:rFonts w:hint="eastAsia" w:ascii="仿宋_GB2312" w:hAnsi="宋体" w:eastAsia="仿宋_GB2312"/>
          <w:snapToGrid w:val="0"/>
          <w:sz w:val="32"/>
          <w:szCs w:val="32"/>
          <w:highlight w:val="none"/>
        </w:rPr>
        <w:t>.</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 本次采购不接受联合体投标。</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比选公告、比选文件及有关补遗和答疑文件相关事项在江苏长江地质勘查院站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：00前，将投标材料邮寄或者人工送达的方式，送至</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乔工收，联系电话13584378541。</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 时(北京时间)在江苏长江地质勘查院三楼会议室开标。</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3"/>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3"/>
        <w:spacing w:after="0"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3"/>
        <w:spacing w:after="0" w:line="560" w:lineRule="exact"/>
        <w:ind w:firstLine="640" w:firstLineChars="200"/>
        <w:rPr>
          <w:rFonts w:ascii="仿宋_GB2312" w:eastAsia="仿宋_GB2312"/>
          <w:sz w:val="32"/>
          <w:szCs w:val="32"/>
          <w:highlight w:val="none"/>
        </w:rPr>
      </w:pPr>
      <w:r>
        <w:rPr>
          <w:rFonts w:hint="eastAsia" w:ascii="仿宋_GB2312" w:hAnsi="宋体" w:eastAsia="仿宋_GB2312"/>
          <w:sz w:val="32"/>
          <w:szCs w:val="32"/>
          <w:highlight w:val="none"/>
        </w:rPr>
        <w:t>联系人：乔工                  电话：13584378541</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纪检审计部     电话：15205180066</w:t>
      </w:r>
    </w:p>
    <w:p>
      <w:pPr>
        <w:pStyle w:val="4"/>
        <w:spacing w:line="560" w:lineRule="exact"/>
        <w:ind w:firstLine="420" w:firstLineChars="200"/>
        <w:rPr>
          <w:highlight w:val="none"/>
        </w:rPr>
      </w:pPr>
    </w:p>
    <w:p>
      <w:pPr>
        <w:spacing w:line="560" w:lineRule="exact"/>
        <w:ind w:firstLine="420" w:firstLineChars="200"/>
        <w:rPr>
          <w:highlight w:val="none"/>
        </w:rPr>
      </w:pPr>
    </w:p>
    <w:p>
      <w:pPr>
        <w:pStyle w:val="4"/>
        <w:spacing w:line="560" w:lineRule="exact"/>
        <w:ind w:firstLine="420" w:firstLineChars="200"/>
        <w:rPr>
          <w:highlight w:val="none"/>
        </w:rPr>
      </w:pPr>
    </w:p>
    <w:p>
      <w:pPr>
        <w:pStyle w:val="4"/>
        <w:spacing w:line="560" w:lineRule="exact"/>
        <w:ind w:firstLine="420" w:firstLineChars="200"/>
        <w:rPr>
          <w:highlight w:val="none"/>
        </w:rPr>
      </w:pPr>
    </w:p>
    <w:p>
      <w:pPr>
        <w:pStyle w:val="4"/>
        <w:spacing w:line="560" w:lineRule="exact"/>
        <w:ind w:firstLine="420" w:firstLineChars="200"/>
        <w:rPr>
          <w:highlight w:val="none"/>
        </w:rPr>
      </w:pPr>
    </w:p>
    <w:p>
      <w:pPr>
        <w:pStyle w:val="4"/>
        <w:spacing w:line="560" w:lineRule="exact"/>
        <w:ind w:firstLine="420" w:firstLineChars="200"/>
        <w:rPr>
          <w:highlight w:val="none"/>
        </w:rPr>
      </w:pPr>
    </w:p>
    <w:p>
      <w:pPr>
        <w:pStyle w:val="4"/>
        <w:spacing w:line="560" w:lineRule="exact"/>
        <w:rPr>
          <w:highlight w:val="none"/>
        </w:rPr>
      </w:pP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5" w:name="_Toc97794043"/>
      <w:bookmarkStart w:id="6" w:name="_Toc11379"/>
      <w:r>
        <w:rPr>
          <w:rFonts w:hint="eastAsia" w:ascii="方正小标宋简体" w:hAnsi="仿宋_GB2312" w:eastAsia="方正小标宋简体"/>
          <w:b w:val="0"/>
          <w:bCs/>
          <w:color w:val="000000"/>
          <w:szCs w:val="44"/>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7" w:name="_Toc2851"/>
      <w:r>
        <w:rPr>
          <w:rFonts w:hint="eastAsia" w:ascii="方正小标宋简体" w:hAnsi="仿宋_GB2312" w:eastAsia="方正小标宋简体"/>
          <w:b w:val="0"/>
          <w:bCs/>
          <w:color w:val="000000"/>
          <w:szCs w:val="44"/>
          <w:highlight w:val="none"/>
        </w:rPr>
        <w:t>第二章 投标人须知</w:t>
      </w:r>
      <w:bookmarkEnd w:id="5"/>
      <w:bookmarkEnd w:id="6"/>
      <w:bookmarkEnd w:id="7"/>
      <w:bookmarkStart w:id="8" w:name="_Toc6644"/>
    </w:p>
    <w:bookmarkEnd w:id="8"/>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 2份：其中正本 1 份、副本1 份。</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rPr>
          <w:highlight w:val="none"/>
        </w:rPr>
      </w:pPr>
      <w:r>
        <w:rPr>
          <w:rFonts w:ascii="宋体" w:hAnsi="宋体"/>
          <w:highlight w:val="none"/>
        </w:rPr>
        <w:br w:type="page"/>
      </w:r>
      <w:bookmarkStart w:id="9" w:name="_Toc161767419"/>
      <w:bookmarkStart w:id="10" w:name="_Toc135998992"/>
    </w:p>
    <w:bookmarkEnd w:id="9"/>
    <w:bookmarkEnd w:id="10"/>
    <w:p>
      <w:pPr>
        <w:pStyle w:val="5"/>
        <w:numPr>
          <w:ilvl w:val="0"/>
          <w:numId w:val="1"/>
        </w:numPr>
        <w:spacing w:before="0" w:after="0" w:line="660" w:lineRule="exact"/>
        <w:jc w:val="center"/>
        <w:rPr>
          <w:rFonts w:hint="eastAsia" w:ascii="方正小标宋简体" w:hAnsi="仿宋_GB2312" w:eastAsia="方正小标宋简体"/>
          <w:b w:val="0"/>
          <w:bCs/>
          <w:color w:val="000000"/>
          <w:szCs w:val="44"/>
          <w:highlight w:val="none"/>
        </w:rPr>
      </w:pPr>
      <w:bookmarkStart w:id="11" w:name="_Toc28611"/>
      <w:bookmarkStart w:id="12" w:name="_Toc96584967"/>
      <w:bookmarkStart w:id="13" w:name="_Toc414431079"/>
      <w:bookmarkStart w:id="14" w:name="_Toc96585093"/>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rPr>
        <w:t xml:space="preserve"> 合同文本模板</w:t>
      </w:r>
    </w:p>
    <w:bookmarkEnd w:id="11"/>
    <w:bookmarkEnd w:id="12"/>
    <w:bookmarkEnd w:id="13"/>
    <w:bookmarkEnd w:id="14"/>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sz w:val="24"/>
          <w:highlight w:val="none"/>
          <w:lang w:val="en-US" w:eastAsia="zh-CN"/>
        </w:rPr>
      </w:pPr>
      <w:r>
        <w:rPr>
          <w:rFonts w:hint="eastAsia" w:ascii="仿宋_GB2312" w:eastAsia="仿宋_GB2312"/>
          <w:sz w:val="24"/>
          <w:highlight w:val="none"/>
        </w:rPr>
        <w:t xml:space="preserve"> </w:t>
      </w:r>
      <w:r>
        <w:rPr>
          <w:rFonts w:hint="eastAsia" w:ascii="仿宋_GB2312" w:eastAsia="仿宋_GB2312"/>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eastAsia="仿宋"/>
          <w:bCs/>
          <w:sz w:val="24"/>
          <w:highlight w:val="none"/>
        </w:rPr>
      </w:pPr>
      <w:r>
        <w:rPr>
          <w:rFonts w:hint="eastAsia" w:eastAsia="仿宋"/>
          <w:bCs/>
          <w:sz w:val="24"/>
          <w:highlight w:val="none"/>
        </w:rPr>
        <w:t>根据《中华人民共和国民法典》及相关法规的规定，甲方和乙方（单称时为“一方”，统称时为“双方”）本着平等互利、等价有偿的原则，经友好协商，共同签订本买卖合同（以下简称“本合同”或“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第一条</w:t>
      </w:r>
      <w:r>
        <w:rPr>
          <w:rFonts w:hint="eastAsia" w:eastAsia="仿宋"/>
          <w:b/>
          <w:bCs/>
          <w:sz w:val="24"/>
          <w:highlight w:val="none"/>
        </w:rPr>
        <w:t>标的物（以下简称“合同标的” ）</w:t>
      </w:r>
    </w:p>
    <w:tbl>
      <w:tblPr>
        <w:tblStyle w:val="23"/>
        <w:tblW w:w="9546" w:type="dxa"/>
        <w:jc w:val="center"/>
        <w:tblInd w:w="0" w:type="dxa"/>
        <w:tblLayout w:type="fixed"/>
        <w:tblCellMar>
          <w:top w:w="15" w:type="dxa"/>
          <w:left w:w="15" w:type="dxa"/>
          <w:bottom w:w="15" w:type="dxa"/>
          <w:right w:w="15" w:type="dxa"/>
        </w:tblCellMar>
      </w:tblPr>
      <w:tblGrid>
        <w:gridCol w:w="820"/>
        <w:gridCol w:w="837"/>
        <w:gridCol w:w="700"/>
        <w:gridCol w:w="833"/>
        <w:gridCol w:w="589"/>
        <w:gridCol w:w="482"/>
        <w:gridCol w:w="752"/>
        <w:gridCol w:w="1042"/>
        <w:gridCol w:w="864"/>
        <w:gridCol w:w="2627"/>
      </w:tblGrid>
      <w:tr>
        <w:tblPrEx>
          <w:tblLayout w:type="fixed"/>
          <w:tblCellMar>
            <w:top w:w="15" w:type="dxa"/>
            <w:left w:w="15" w:type="dxa"/>
            <w:bottom w:w="15" w:type="dxa"/>
            <w:right w:w="15" w:type="dxa"/>
          </w:tblCellMar>
        </w:tblPrEx>
        <w:trPr>
          <w:trHeight w:val="624"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6"/>
                <w:rFonts w:hint="default"/>
                <w:sz w:val="21"/>
                <w:szCs w:val="21"/>
                <w:highlight w:val="none"/>
                <w:lang w:bidi="ar"/>
              </w:rPr>
              <w:t>序号</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6"/>
                <w:rFonts w:hint="default"/>
                <w:sz w:val="21"/>
                <w:szCs w:val="21"/>
                <w:highlight w:val="none"/>
                <w:lang w:bidi="ar"/>
              </w:rPr>
              <w:t>材料名称</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6"/>
                <w:rFonts w:hint="default"/>
                <w:sz w:val="21"/>
                <w:szCs w:val="21"/>
                <w:highlight w:val="none"/>
                <w:lang w:bidi="ar"/>
              </w:rPr>
              <w:t>规格型号</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保证使用时间（h)</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6"/>
                <w:rFonts w:hint="default"/>
                <w:sz w:val="21"/>
                <w:szCs w:val="21"/>
                <w:highlight w:val="none"/>
                <w:lang w:bidi="ar"/>
              </w:rPr>
              <w:t>单位</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6"/>
                <w:rFonts w:hint="default"/>
                <w:sz w:val="21"/>
                <w:szCs w:val="21"/>
                <w:highlight w:val="none"/>
                <w:lang w:bidi="ar"/>
              </w:rPr>
              <w:t>数量</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税率（</w:t>
            </w:r>
            <w:r>
              <w:rPr>
                <w:rStyle w:val="34"/>
                <w:sz w:val="21"/>
                <w:szCs w:val="21"/>
                <w:highlight w:val="none"/>
                <w:lang w:bidi="ar"/>
              </w:rPr>
              <w:t>%</w:t>
            </w:r>
            <w:r>
              <w:rPr>
                <w:rStyle w:val="36"/>
                <w:rFonts w:hint="default"/>
                <w:sz w:val="21"/>
                <w:szCs w:val="21"/>
                <w:highlight w:val="none"/>
                <w:lang w:bidi="ar"/>
              </w:rPr>
              <w:t>）</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单价（元）</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金额（元）</w:t>
            </w:r>
          </w:p>
        </w:tc>
        <w:tc>
          <w:tcPr>
            <w:tcW w:w="2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b/>
                <w:color w:val="000000"/>
                <w:sz w:val="21"/>
                <w:szCs w:val="21"/>
                <w:highlight w:val="none"/>
              </w:rPr>
            </w:pPr>
            <w:r>
              <w:rPr>
                <w:rStyle w:val="37"/>
                <w:rFonts w:hint="default"/>
                <w:sz w:val="21"/>
                <w:szCs w:val="21"/>
                <w:highlight w:val="none"/>
                <w:lang w:bidi="ar"/>
              </w:rPr>
              <w:t>备注</w:t>
            </w:r>
          </w:p>
        </w:tc>
      </w:tr>
      <w:tr>
        <w:tblPrEx>
          <w:tblLayout w:type="fixed"/>
          <w:tblCellMar>
            <w:top w:w="15" w:type="dxa"/>
            <w:left w:w="15" w:type="dxa"/>
            <w:bottom w:w="15" w:type="dxa"/>
            <w:right w:w="15" w:type="dxa"/>
          </w:tblCellMar>
        </w:tblPrEx>
        <w:trPr>
          <w:trHeight w:val="624"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1"/>
                <w:szCs w:val="21"/>
                <w:highlight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1"/>
                <w:szCs w:val="21"/>
                <w:highlight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1"/>
                <w:szCs w:val="21"/>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1"/>
                <w:szCs w:val="21"/>
                <w:highlight w:val="none"/>
              </w:rPr>
            </w:pPr>
          </w:p>
        </w:tc>
        <w:tc>
          <w:tcPr>
            <w:tcW w:w="2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r>
      <w:tr>
        <w:tblPrEx>
          <w:tblLayout w:type="fixed"/>
          <w:tblCellMar>
            <w:top w:w="15" w:type="dxa"/>
            <w:left w:w="15" w:type="dxa"/>
            <w:bottom w:w="15" w:type="dxa"/>
            <w:right w:w="15" w:type="dxa"/>
          </w:tblCellMar>
        </w:tblPrEx>
        <w:trPr>
          <w:trHeight w:val="78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r>
              <w:rPr>
                <w:color w:val="000000"/>
                <w:kern w:val="0"/>
                <w:sz w:val="21"/>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螺杆</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sz w:val="21"/>
                <w:szCs w:val="21"/>
                <w:highlight w:val="none"/>
              </w:rPr>
            </w:pPr>
            <w:r>
              <w:rPr>
                <w:rFonts w:hint="eastAsia" w:ascii="仿宋_GB2312" w:hAnsi="宋体" w:eastAsia="仿宋_GB2312"/>
                <w:snapToGrid w:val="0"/>
                <w:sz w:val="24"/>
                <w:szCs w:val="24"/>
                <w:highlight w:val="none"/>
              </w:rPr>
              <w:t>185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80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螺杆</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sz w:val="21"/>
                <w:szCs w:val="21"/>
                <w:highlight w:val="none"/>
              </w:rPr>
            </w:pPr>
            <w:r>
              <w:rPr>
                <w:rFonts w:hint="eastAsia" w:ascii="仿宋_GB2312" w:hAnsi="宋体" w:eastAsia="仿宋_GB2312"/>
                <w:snapToGrid w:val="0"/>
                <w:sz w:val="24"/>
                <w:szCs w:val="24"/>
                <w:highlight w:val="none"/>
              </w:rPr>
              <w:t>185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80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3</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螺杆</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sz w:val="21"/>
                <w:szCs w:val="21"/>
                <w:highlight w:val="none"/>
              </w:rPr>
            </w:pPr>
            <w:r>
              <w:rPr>
                <w:rFonts w:hint="eastAsia" w:ascii="仿宋_GB2312" w:hAnsi="宋体" w:eastAsia="仿宋_GB2312"/>
                <w:snapToGrid w:val="0"/>
                <w:sz w:val="24"/>
                <w:szCs w:val="24"/>
                <w:highlight w:val="none"/>
              </w:rPr>
              <w:t>185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78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螺杆</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color w:val="000000"/>
                <w:sz w:val="21"/>
                <w:szCs w:val="21"/>
                <w:highlight w:val="none"/>
              </w:rPr>
            </w:pPr>
            <w:r>
              <w:rPr>
                <w:rFonts w:hint="eastAsia" w:ascii="仿宋_GB2312" w:hAnsi="宋体" w:eastAsia="仿宋_GB2312"/>
                <w:snapToGrid w:val="0"/>
                <w:sz w:val="24"/>
                <w:szCs w:val="24"/>
                <w:highlight w:val="none"/>
              </w:rPr>
              <w:t>120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78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eastAsia="宋体"/>
                <w:color w:val="000000"/>
                <w:kern w:val="0"/>
                <w:sz w:val="21"/>
                <w:szCs w:val="21"/>
                <w:highlight w:val="none"/>
                <w:lang w:val="en-US" w:eastAsia="zh-CN" w:bidi="ar"/>
              </w:rPr>
            </w:pPr>
            <w:r>
              <w:rPr>
                <w:rFonts w:hint="eastAsia"/>
                <w:color w:val="000000"/>
                <w:kern w:val="0"/>
                <w:sz w:val="21"/>
                <w:szCs w:val="21"/>
                <w:highlight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螺杆</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172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根</w:t>
            </w:r>
            <w:bookmarkStart w:id="29" w:name="_GoBack"/>
            <w:bookmarkEnd w:id="29"/>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78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eastAsia="宋体"/>
                <w:color w:val="000000"/>
                <w:kern w:val="0"/>
                <w:sz w:val="21"/>
                <w:szCs w:val="21"/>
                <w:highlight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1"/>
                <w:szCs w:val="21"/>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snapToGrid w:val="0"/>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1"/>
                <w:szCs w:val="21"/>
                <w:highlight w:val="none"/>
                <w:lang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color w:val="000000"/>
                <w:sz w:val="18"/>
                <w:szCs w:val="18"/>
                <w:highlight w:val="none"/>
              </w:rPr>
            </w:pPr>
          </w:p>
        </w:tc>
      </w:tr>
      <w:tr>
        <w:tblPrEx>
          <w:tblLayout w:type="fixed"/>
          <w:tblCellMar>
            <w:top w:w="15" w:type="dxa"/>
            <w:left w:w="15" w:type="dxa"/>
            <w:bottom w:w="15" w:type="dxa"/>
            <w:right w:w="15" w:type="dxa"/>
          </w:tblCellMar>
        </w:tblPrEx>
        <w:trPr>
          <w:trHeight w:val="460" w:hRule="atLeast"/>
          <w:jc w:val="center"/>
        </w:trPr>
        <w:tc>
          <w:tcPr>
            <w:tcW w:w="4261" w:type="dxa"/>
            <w:gridSpan w:val="6"/>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1"/>
                <w:szCs w:val="21"/>
                <w:highlight w:val="none"/>
              </w:rPr>
            </w:pPr>
            <w:r>
              <w:rPr>
                <w:rFonts w:hint="eastAsia" w:ascii="宋体" w:hAnsi="宋体" w:cs="宋体"/>
                <w:b/>
                <w:color w:val="000000"/>
                <w:kern w:val="0"/>
                <w:sz w:val="21"/>
                <w:szCs w:val="21"/>
                <w:highlight w:val="none"/>
                <w:lang w:bidi="ar"/>
              </w:rPr>
              <w:t>合计</w:t>
            </w:r>
          </w:p>
        </w:tc>
        <w:tc>
          <w:tcPr>
            <w:tcW w:w="752" w:type="dxa"/>
            <w:tcBorders>
              <w:top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1"/>
                <w:szCs w:val="21"/>
                <w:highlight w:val="none"/>
              </w:rPr>
            </w:pPr>
          </w:p>
        </w:tc>
        <w:tc>
          <w:tcPr>
            <w:tcW w:w="104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86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color w:val="000000"/>
                <w:sz w:val="21"/>
                <w:szCs w:val="21"/>
                <w:highlight w:val="none"/>
              </w:rPr>
            </w:pPr>
          </w:p>
        </w:tc>
        <w:tc>
          <w:tcPr>
            <w:tcW w:w="262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b/>
                <w:color w:val="000000"/>
                <w:sz w:val="21"/>
                <w:szCs w:val="21"/>
                <w:highlight w:val="none"/>
              </w:rPr>
            </w:pPr>
          </w:p>
        </w:tc>
      </w:tr>
      <w:tr>
        <w:tblPrEx>
          <w:tblLayout w:type="fixed"/>
          <w:tblCellMar>
            <w:top w:w="15" w:type="dxa"/>
            <w:left w:w="15" w:type="dxa"/>
            <w:bottom w:w="15" w:type="dxa"/>
            <w:right w:w="15" w:type="dxa"/>
          </w:tblCellMar>
        </w:tblPrEx>
        <w:trPr>
          <w:trHeight w:val="90" w:hRule="atLeast"/>
          <w:jc w:val="center"/>
        </w:trPr>
        <w:tc>
          <w:tcPr>
            <w:tcW w:w="9546" w:type="dxa"/>
            <w:gridSpan w:val="10"/>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备注：上述报价需含税、含往返运费，税率：</w:t>
            </w:r>
            <w:r>
              <w:rPr>
                <w:rStyle w:val="40"/>
                <w:sz w:val="21"/>
                <w:szCs w:val="21"/>
                <w:highlight w:val="none"/>
                <w:lang w:bidi="ar"/>
              </w:rPr>
              <w:t>13%</w:t>
            </w:r>
            <w:r>
              <w:rPr>
                <w:rStyle w:val="41"/>
                <w:rFonts w:hint="default"/>
                <w:sz w:val="21"/>
                <w:szCs w:val="21"/>
                <w:highlight w:val="none"/>
                <w:lang w:bidi="ar"/>
              </w:rPr>
              <w:t>。需承诺免费调整螺杆角度。维修价格第一次免费维修，维修螺杆保证视同全新螺杆同质量使用，螺杆度数不影响价格。交货地点</w:t>
            </w:r>
            <w:r>
              <w:rPr>
                <w:rStyle w:val="40"/>
                <w:sz w:val="21"/>
                <w:szCs w:val="21"/>
                <w:highlight w:val="none"/>
                <w:lang w:bidi="ar"/>
              </w:rPr>
              <w:t>:</w:t>
            </w:r>
            <w:r>
              <w:rPr>
                <w:rStyle w:val="41"/>
                <w:rFonts w:hint="eastAsia"/>
                <w:sz w:val="21"/>
                <w:szCs w:val="21"/>
                <w:highlight w:val="none"/>
                <w:lang w:bidi="ar"/>
              </w:rPr>
              <w:t>河北省邢台市宁晋县</w:t>
            </w:r>
            <w:r>
              <w:rPr>
                <w:rStyle w:val="41"/>
                <w:rFonts w:hint="default"/>
                <w:sz w:val="21"/>
                <w:szCs w:val="21"/>
                <w:highlight w:val="none"/>
                <w:lang w:bidi="ar"/>
              </w:rPr>
              <w:t>。</w:t>
            </w:r>
          </w:p>
        </w:tc>
      </w:tr>
    </w:tbl>
    <w:p>
      <w:pPr>
        <w:keepNext w:val="0"/>
        <w:keepLines w:val="0"/>
        <w:pageBreakBefore w:val="0"/>
        <w:widowControl w:val="0"/>
        <w:tabs>
          <w:tab w:val="left" w:pos="900"/>
        </w:tabs>
        <w:kinsoku/>
        <w:wordWrap/>
        <w:overflowPunct/>
        <w:topLinePunct w:val="0"/>
        <w:autoSpaceDE/>
        <w:autoSpaceDN/>
        <w:bidi w:val="0"/>
        <w:adjustRightInd/>
        <w:snapToGrid/>
        <w:spacing w:line="400" w:lineRule="exact"/>
        <w:textAlignment w:val="auto"/>
        <w:rPr>
          <w:rFonts w:eastAsia="仿宋"/>
          <w:b/>
          <w:bCs/>
          <w:sz w:val="24"/>
          <w:highlight w:val="none"/>
        </w:rPr>
      </w:pPr>
      <w:r>
        <w:rPr>
          <w:rFonts w:hint="eastAsia" w:eastAsia="仿宋"/>
          <w:b/>
          <w:bCs/>
          <w:sz w:val="24"/>
          <w:highlight w:val="none"/>
        </w:rPr>
        <w:t>第二条 合同价款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highlight w:val="none"/>
        </w:rPr>
      </w:pPr>
      <w:r>
        <w:rPr>
          <w:rFonts w:hint="eastAsia" w:eastAsia="仿宋"/>
          <w:bCs/>
          <w:sz w:val="24"/>
          <w:highlight w:val="none"/>
        </w:rPr>
        <w:t>该合同总价包含合同标的的设计、制造、包装、运输、税金、费用。乙方按照甲方要求分批次送货，货到工地验收合格，送货确认清单经双方签字确认后为开票金额，最终合同金额以结算单为准。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三</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质量标准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ascii="Verdana" w:hAnsi="Verdana"/>
          <w:highlight w:val="none"/>
        </w:rPr>
        <w:t xml:space="preserve">     </w:t>
      </w:r>
      <w:r>
        <w:rPr>
          <w:rFonts w:hint="eastAsia" w:eastAsia="仿宋"/>
          <w:bCs/>
          <w:sz w:val="24"/>
          <w:highlight w:val="none"/>
        </w:rPr>
        <w:t>合同标的的技术参数及质量标准应全部符合相关国家、行业标准或规定。在合同标的出厂之前，甲方有权要求对合同标的的技术指标进行部分调整和修改，因此而多发生的费用，由甲方承担，乙方的交货时间可以根据实际情况予以顺延。</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四</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包装及包装标准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提供货物运至甲方指定工地现场所必须的所有包装，合同标的的包装应防止合同标的在运转中受到任何损伤、锈蚀、变质或任何其他毁损。包装应采取防碰撞、防潮、防晒、防锈、防腐、防震动及防止其他损坏的必要保护措施。因包装原因导致合同标的毁损、灭失的风险责任由乙方自行承担。</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五</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交货方式和地点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乙方应按甲方的指示和要求将所有合同标的运送到江苏省常州市金坛区直溪镇施工现场。如果甲方另行指定交货地点，因此造成的运输费用增加部分由甲方承担。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0" w:leftChars="0" w:firstLine="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六</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所有权转移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
          <w:bCs/>
          <w:sz w:val="24"/>
          <w:highlight w:val="none"/>
        </w:rPr>
      </w:pPr>
      <w:r>
        <w:rPr>
          <w:rFonts w:hint="eastAsia" w:eastAsia="仿宋"/>
          <w:bCs/>
          <w:sz w:val="24"/>
          <w:highlight w:val="none"/>
        </w:rPr>
        <w:t>标的物所有权自发货时起转移，但甲方未履行支付价款义务的，归乙方所有。</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七</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运输方式及费用负担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highlight w:val="none"/>
        </w:rPr>
      </w:pPr>
      <w:r>
        <w:rPr>
          <w:rFonts w:hint="eastAsia" w:eastAsia="仿宋"/>
          <w:bCs/>
          <w:sz w:val="24"/>
          <w:highlight w:val="none"/>
        </w:rPr>
        <w:t>乙方负责合同标的的全部运输过程并承担相关运输过程中所发生的一切责任和费用。</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八</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合理损耗标准及计算方法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运输过程中造成的合同标的的损坏、损伤、丢失，应由乙方负责，相关费用由乙方承担。如果合同标的在运输过程中出现损坏、损伤、丢失而导致乙方延迟交货，应按本合同第十三条规定的延迟交货处理，不可抗力原因除外。</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九</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验收标准、方法、地点及期限</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合同标的运抵甲方指定的工地现场后7日内，由甲方按本合同的相关规定对合同标的进行验收。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如甲方验收不合格，乙方应在甲方提出书面异议之日起5日内整改完毕或7日内按甲方要求无条件更换存在质量问题的合同标的，并按照本合同第十</w:t>
      </w:r>
      <w:r>
        <w:rPr>
          <w:rFonts w:hint="eastAsia" w:eastAsia="仿宋"/>
          <w:bCs/>
          <w:sz w:val="24"/>
          <w:highlight w:val="none"/>
          <w:lang w:val="en-US" w:eastAsia="zh-CN"/>
        </w:rPr>
        <w:t>三</w:t>
      </w:r>
      <w:r>
        <w:rPr>
          <w:rFonts w:hint="eastAsia" w:eastAsia="仿宋"/>
          <w:bCs/>
          <w:sz w:val="24"/>
          <w:highlight w:val="none"/>
        </w:rPr>
        <w:t>条的规定承担延期交货的违约责任。同时，质保期限在合同标的更换并经甲方出具验收合格的书面意见后开始计算。如果因此给甲方造成损失的，乙方应向甲方赔偿由此造成的一切损失。</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经整改或更换一次后仍未通过甲方验收的，甲方有权要求退货。甲方因此要求退货的，乙方应将甲方已经支付的款项退还甲方，并承担退货所需发生的一切费用。如果因此给甲方造成损失的，乙方应向甲方赔偿由此造成的一切损失。</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十</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质量保证和售后服务</w:t>
      </w:r>
    </w:p>
    <w:p>
      <w:pPr>
        <w:keepNext w:val="0"/>
        <w:keepLines w:val="0"/>
        <w:pageBreakBefore w:val="0"/>
        <w:widowControl w:val="0"/>
        <w:kinsoku/>
        <w:wordWrap/>
        <w:overflowPunct/>
        <w:topLinePunct w:val="0"/>
        <w:autoSpaceDE/>
        <w:autoSpaceDN/>
        <w:bidi w:val="0"/>
        <w:adjustRightInd/>
        <w:snapToGrid/>
        <w:spacing w:line="400" w:lineRule="exact"/>
        <w:ind w:firstLine="363"/>
        <w:jc w:val="left"/>
        <w:textAlignment w:val="auto"/>
        <w:rPr>
          <w:color w:val="000000" w:themeColor="text1"/>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1.自合同标的经甲方验收合格开始计算，（所有合同标的的质量保证期限为</w:t>
      </w:r>
      <w:r>
        <w:rPr>
          <w:rFonts w:hint="eastAsia" w:eastAsia="仿宋"/>
          <w:bCs/>
          <w:color w:val="000000" w:themeColor="text1"/>
          <w:sz w:val="24"/>
          <w:highlight w:val="none"/>
          <w:u w:val="single"/>
          <w14:textFill>
            <w14:solidFill>
              <w14:schemeClr w14:val="tx1"/>
            </w14:solidFill>
          </w14:textFill>
        </w:rPr>
        <w:t xml:space="preserve">180 </w:t>
      </w:r>
      <w:r>
        <w:rPr>
          <w:rFonts w:hint="eastAsia" w:eastAsia="仿宋"/>
          <w:bCs/>
          <w:color w:val="000000" w:themeColor="text1"/>
          <w:sz w:val="24"/>
          <w:highlight w:val="none"/>
          <w14:textFill>
            <w14:solidFill>
              <w14:schemeClr w14:val="tx1"/>
            </w14:solidFill>
          </w14:textFill>
        </w:rPr>
        <w:t>天，全新未用的情况下。）乙方保证本合同所需螺杆钻具工作使用时间为</w:t>
      </w:r>
      <w:r>
        <w:rPr>
          <w:rFonts w:hint="eastAsia" w:eastAsia="仿宋"/>
          <w:bCs/>
          <w:color w:val="000000" w:themeColor="text1"/>
          <w:sz w:val="24"/>
          <w:highlight w:val="none"/>
          <w:lang w:val="en-US" w:eastAsia="zh-CN"/>
          <w14:textFill>
            <w14:solidFill>
              <w14:schemeClr w14:val="tx1"/>
            </w14:solidFill>
          </w14:textFill>
        </w:rPr>
        <w:t>120</w:t>
      </w:r>
      <w:r>
        <w:rPr>
          <w:rFonts w:hint="eastAsia" w:eastAsia="仿宋"/>
          <w:bCs/>
          <w:color w:val="000000" w:themeColor="text1"/>
          <w:sz w:val="24"/>
          <w:highlight w:val="none"/>
          <w14:textFill>
            <w14:solidFill>
              <w14:schemeClr w14:val="tx1"/>
            </w14:solidFill>
          </w14:textFill>
        </w:rPr>
        <w:t>螺杆</w:t>
      </w:r>
      <w:r>
        <w:rPr>
          <w:rFonts w:hint="eastAsia" w:eastAsia="仿宋"/>
          <w:bCs/>
          <w:color w:val="000000" w:themeColor="text1"/>
          <w:sz w:val="24"/>
          <w:highlight w:val="none"/>
          <w:lang w:val="en-US" w:eastAsia="zh-CN"/>
          <w14:textFill>
            <w14:solidFill>
              <w14:schemeClr w14:val="tx1"/>
            </w14:solidFill>
          </w14:textFill>
        </w:rPr>
        <w:t>150</w:t>
      </w:r>
      <w:r>
        <w:rPr>
          <w:rFonts w:hint="eastAsia" w:eastAsia="仿宋"/>
          <w:bCs/>
          <w:color w:val="000000" w:themeColor="text1"/>
          <w:sz w:val="24"/>
          <w:highlight w:val="none"/>
          <w14:textFill>
            <w14:solidFill>
              <w14:schemeClr w14:val="tx1"/>
            </w14:solidFill>
          </w14:textFill>
        </w:rPr>
        <w:t>小时，185螺杆200小时。</w:t>
      </w:r>
    </w:p>
    <w:p>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2.如果合同标的在质量保证期限内出现任何质量问题， 最大赔偿额度为相对应的单根螺杆钻具。</w:t>
      </w:r>
    </w:p>
    <w:p>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3.螺杆使用当中乙方承诺甲方螺杆弯度需要调整弯度的免费更换，免费更换跟免费维修同时进行，往返运费由乙方承担，如甲方单独需要调整弯度则运费由甲方承担。</w:t>
      </w:r>
    </w:p>
    <w:p>
      <w:pPr>
        <w:keepNext w:val="0"/>
        <w:keepLines w:val="0"/>
        <w:pageBreakBefore w:val="0"/>
        <w:widowControl w:val="0"/>
        <w:kinsoku/>
        <w:wordWrap/>
        <w:overflowPunct/>
        <w:topLinePunct w:val="0"/>
        <w:autoSpaceDE/>
        <w:autoSpaceDN/>
        <w:bidi w:val="0"/>
        <w:adjustRightInd/>
        <w:snapToGrid/>
        <w:spacing w:line="400" w:lineRule="exact"/>
        <w:ind w:firstLine="363"/>
        <w:jc w:val="left"/>
        <w:textAlignment w:val="auto"/>
        <w:rPr>
          <w:rFonts w:hint="eastAsia"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4.乙方承诺免费维修一次，维修后视同全新螺杆同质量使用，并且保证维修后的螺杆钻具工作使用时间为</w:t>
      </w:r>
      <w:r>
        <w:rPr>
          <w:rFonts w:hint="eastAsia" w:eastAsia="仿宋"/>
          <w:bCs/>
          <w:color w:val="000000" w:themeColor="text1"/>
          <w:sz w:val="24"/>
          <w:highlight w:val="none"/>
          <w:lang w:val="en-US" w:eastAsia="zh-CN"/>
          <w14:textFill>
            <w14:solidFill>
              <w14:schemeClr w14:val="tx1"/>
            </w14:solidFill>
          </w14:textFill>
        </w:rPr>
        <w:t>120</w:t>
      </w:r>
      <w:r>
        <w:rPr>
          <w:rFonts w:hint="eastAsia" w:eastAsia="仿宋"/>
          <w:bCs/>
          <w:color w:val="000000" w:themeColor="text1"/>
          <w:sz w:val="24"/>
          <w:highlight w:val="none"/>
          <w14:textFill>
            <w14:solidFill>
              <w14:schemeClr w14:val="tx1"/>
            </w14:solidFill>
          </w14:textFill>
        </w:rPr>
        <w:t>螺杆</w:t>
      </w:r>
      <w:r>
        <w:rPr>
          <w:rFonts w:hint="eastAsia" w:eastAsia="仿宋"/>
          <w:bCs/>
          <w:color w:val="000000" w:themeColor="text1"/>
          <w:sz w:val="24"/>
          <w:highlight w:val="none"/>
          <w:lang w:val="en-US" w:eastAsia="zh-CN"/>
          <w14:textFill>
            <w14:solidFill>
              <w14:schemeClr w14:val="tx1"/>
            </w14:solidFill>
          </w14:textFill>
        </w:rPr>
        <w:t>150</w:t>
      </w:r>
      <w:r>
        <w:rPr>
          <w:rFonts w:hint="eastAsia" w:eastAsia="仿宋"/>
          <w:bCs/>
          <w:color w:val="000000" w:themeColor="text1"/>
          <w:sz w:val="24"/>
          <w:highlight w:val="none"/>
          <w14:textFill>
            <w14:solidFill>
              <w14:schemeClr w14:val="tx1"/>
            </w14:solidFill>
          </w14:textFill>
        </w:rPr>
        <w:t>小时，185螺杆200小时。乙方承担配货费用，不承担专车费用。</w:t>
      </w:r>
    </w:p>
    <w:p>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color w:val="000000" w:themeColor="text1"/>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5.合同标的物在使用不当的情况下出现事故损失不在此合同约束范围之内。</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第十</w:t>
      </w:r>
      <w:r>
        <w:rPr>
          <w:rFonts w:hint="eastAsia" w:eastAsia="仿宋" w:cs="Times New Roman"/>
          <w:b/>
          <w:bCs/>
          <w:color w:val="000000" w:themeColor="text1"/>
          <w:kern w:val="2"/>
          <w:sz w:val="24"/>
          <w:szCs w:val="24"/>
          <w:highlight w:val="none"/>
          <w:lang w:val="en-US" w:eastAsia="zh-CN" w:bidi="ar-SA"/>
          <w14:textFill>
            <w14:solidFill>
              <w14:schemeClr w14:val="tx1"/>
            </w14:solidFill>
          </w14:textFill>
        </w:rPr>
        <w:t>一</w:t>
      </w:r>
      <w:r>
        <w:rPr>
          <w:rFonts w:hint="default"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条</w:t>
      </w:r>
      <w:r>
        <w:rPr>
          <w:rFonts w:hint="eastAsia" w:eastAsia="仿宋" w:cs="Times New Roman"/>
          <w:b/>
          <w:bCs/>
          <w:color w:val="000000" w:themeColor="text1"/>
          <w:kern w:val="2"/>
          <w:sz w:val="24"/>
          <w:szCs w:val="24"/>
          <w:highlight w:val="none"/>
          <w:lang w:val="en-US" w:eastAsia="zh-CN" w:bidi="ar-SA"/>
          <w14:textFill>
            <w14:solidFill>
              <w14:schemeClr w14:val="tx1"/>
            </w14:solidFill>
          </w14:textFill>
        </w:rPr>
        <w:t xml:space="preserve"> </w:t>
      </w:r>
      <w:r>
        <w:rPr>
          <w:rFonts w:hint="eastAsia" w:eastAsia="仿宋"/>
          <w:b/>
          <w:bCs/>
          <w:color w:val="000000" w:themeColor="text1"/>
          <w:sz w:val="24"/>
          <w:highlight w:val="none"/>
          <w14:textFill>
            <w14:solidFill>
              <w14:schemeClr w14:val="tx1"/>
            </w14:solidFill>
          </w14:textFill>
        </w:rPr>
        <w:t>付款结算方式及交货时间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lang w:val="en-US" w:eastAsia="zh-CN"/>
          <w14:textFill>
            <w14:solidFill>
              <w14:schemeClr w14:val="tx1"/>
            </w14:solidFill>
          </w14:textFill>
        </w:rPr>
        <w:t xml:space="preserve"> </w:t>
      </w:r>
      <w:r>
        <w:rPr>
          <w:rFonts w:hint="eastAsia" w:eastAsia="仿宋"/>
          <w:bCs/>
          <w:color w:val="000000" w:themeColor="text1"/>
          <w:sz w:val="24"/>
          <w:highlight w:val="none"/>
          <w14:textFill>
            <w14:solidFill>
              <w14:schemeClr w14:val="tx1"/>
            </w14:solidFill>
          </w14:textFill>
        </w:rPr>
        <w:t>银行承兑、汇款。该合同产品是以甲方要求分批次发货据实结算，乙方按照甲方要求送货到指定项目现场，开具发票，甲方收到发票后一月内支付已开发票金额的30%货款，已开票金额的余款在6个月内付清，最终合同金额以结算单为准。发票税率为（1</w:t>
      </w:r>
      <w:r>
        <w:rPr>
          <w:rFonts w:eastAsia="仿宋"/>
          <w:bCs/>
          <w:color w:val="000000" w:themeColor="text1"/>
          <w:sz w:val="24"/>
          <w:highlight w:val="none"/>
          <w14:textFill>
            <w14:solidFill>
              <w14:schemeClr w14:val="tx1"/>
            </w14:solidFill>
          </w14:textFill>
        </w:rPr>
        <w:t>3</w:t>
      </w:r>
      <w:r>
        <w:rPr>
          <w:rFonts w:hint="eastAsia" w:eastAsia="仿宋"/>
          <w:bCs/>
          <w:color w:val="000000" w:themeColor="text1"/>
          <w:sz w:val="24"/>
          <w:highlight w:val="none"/>
          <w14:textFill>
            <w14:solidFill>
              <w14:schemeClr w14:val="tx1"/>
            </w14:solidFill>
          </w14:textFill>
        </w:rPr>
        <w:t>%增值税发票）。乙方在收到甲方通知后5日内货送到项目现场。</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w:t>
      </w:r>
      <w:r>
        <w:rPr>
          <w:rFonts w:hint="eastAsia" w:eastAsia="仿宋" w:cs="Times New Roman"/>
          <w:b/>
          <w:bCs/>
          <w:kern w:val="2"/>
          <w:sz w:val="24"/>
          <w:szCs w:val="24"/>
          <w:highlight w:val="none"/>
          <w:lang w:val="en-US" w:eastAsia="zh-CN" w:bidi="ar-SA"/>
        </w:rPr>
        <w:t>二</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本合同解除的条件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经双方协商一致，可书面变更或解除本合同。</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因不可抗力原因致使合同无法履行时，经双方协商一致，可变更或解除本合同。</w:t>
      </w:r>
    </w:p>
    <w:p>
      <w:pPr>
        <w:keepNext w:val="0"/>
        <w:keepLines w:val="0"/>
        <w:pageBreakBefore w:val="0"/>
        <w:widowControl w:val="0"/>
        <w:kinsoku/>
        <w:wordWrap/>
        <w:overflowPunct/>
        <w:topLinePunct w:val="0"/>
        <w:autoSpaceDE/>
        <w:autoSpaceDN/>
        <w:bidi w:val="0"/>
        <w:adjustRightInd/>
        <w:snapToGrid/>
        <w:spacing w:line="400" w:lineRule="exact"/>
        <w:ind w:left="359" w:leftChars="171"/>
        <w:textAlignment w:val="auto"/>
        <w:rPr>
          <w:rFonts w:eastAsia="仿宋"/>
          <w:bCs/>
          <w:sz w:val="24"/>
          <w:highlight w:val="none"/>
        </w:rPr>
      </w:pPr>
      <w:r>
        <w:rPr>
          <w:rFonts w:hint="eastAsia" w:eastAsia="仿宋"/>
          <w:bCs/>
          <w:sz w:val="24"/>
          <w:highlight w:val="none"/>
        </w:rPr>
        <w:t>不可抗力：指遭受不可抗力的合同方不能预见、无法克服和不可控制的任何行为/事件，且此行为/事件导致受影响的合同方无法履行全部或部分合同项下的义务。满足不可抗力标准的行为/事件包括：自然灾害（地震、飓风、台风、疫病、海啸、洪灾等），战争，暴乱（乙方和/或乙方的设备供应商的雇员所引起的除外），平民的或军事的动乱，全国性的、地区性的或行业性的罢工（由乙方和/或乙方的设备供应商的雇员引起的除外），以及任何政府政策调整等。</w:t>
      </w:r>
    </w:p>
    <w:p>
      <w:pPr>
        <w:keepNext w:val="0"/>
        <w:keepLines w:val="0"/>
        <w:pageBreakBefore w:val="0"/>
        <w:widowControl w:val="0"/>
        <w:kinsoku/>
        <w:wordWrap/>
        <w:overflowPunct/>
        <w:topLinePunct w:val="0"/>
        <w:autoSpaceDE/>
        <w:autoSpaceDN/>
        <w:bidi w:val="0"/>
        <w:adjustRightInd/>
        <w:snapToGrid/>
        <w:spacing w:line="400" w:lineRule="exact"/>
        <w:ind w:left="360"/>
        <w:textAlignment w:val="auto"/>
        <w:rPr>
          <w:rFonts w:eastAsia="仿宋"/>
          <w:bCs/>
          <w:sz w:val="24"/>
          <w:highlight w:val="none"/>
        </w:rPr>
      </w:pPr>
      <w:r>
        <w:rPr>
          <w:rFonts w:hint="eastAsia" w:eastAsia="仿宋"/>
          <w:bCs/>
          <w:sz w:val="24"/>
          <w:highlight w:val="none"/>
        </w:rPr>
        <w:t>受不可抗力影响的一方或双方有义务采取措施，将因不可抗力造成的损失降低到最低程度，并在不可抗力发生后24小时内及时书面通知对方，且在其后三日内向对方提供有效证明文件。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由于一方单方面未履行或不能按本合同的约定履行本合同持续超过15天，另一方有权解除合同，并有权要求另一方赔偿其所遭受的一切损失。</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合同标的质量不符合约定，且乙方未按约定或甲方要求采取必要补救措施的，甲方有权单方解除合同。</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经事先书面通知乙方，甲方可以将其于本合同项下的权利和义务转让给其指定的第三方。</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未经甲方事先书面同意，乙方不得将其于本合同项下的权利和义务部分或全部转让给任何第三方。</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合同变更或解除，不能免除违约方应承担的违约责任，给对方造成损失的，还应承担赔偿责任。</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w:t>
      </w:r>
      <w:r>
        <w:rPr>
          <w:rFonts w:hint="eastAsia" w:eastAsia="仿宋" w:cs="Times New Roman"/>
          <w:b/>
          <w:bCs/>
          <w:kern w:val="2"/>
          <w:sz w:val="24"/>
          <w:szCs w:val="24"/>
          <w:highlight w:val="none"/>
          <w:lang w:val="en-US" w:eastAsia="zh-CN" w:bidi="ar-SA"/>
        </w:rPr>
        <w:t>三</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违约责任</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hint="eastAsia" w:eastAsia="仿宋"/>
          <w:bCs/>
          <w:sz w:val="24"/>
          <w:highlight w:val="none"/>
        </w:rPr>
      </w:pPr>
      <w:r>
        <w:rPr>
          <w:rFonts w:hint="eastAsia" w:eastAsia="仿宋"/>
          <w:bCs/>
          <w:sz w:val="24"/>
          <w:highlight w:val="none"/>
        </w:rPr>
        <w:t>除因甲方和不可抗力原因外，乙方不能按时交付合同标的，应视为乙方延迟交货，每延迟交货1天，乙方须向甲方支付合同总金额千分之三的违约金，同时负责赔偿给甲方造成的一切损失。</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
          <w:bCs/>
          <w:sz w:val="24"/>
          <w:highlight w:val="none"/>
        </w:rPr>
      </w:pPr>
      <w:r>
        <w:rPr>
          <w:rFonts w:hint="eastAsia" w:eastAsia="仿宋"/>
          <w:bCs/>
          <w:sz w:val="24"/>
          <w:highlight w:val="none"/>
        </w:rPr>
        <w:t>甲方若不能按本合同约定向乙方按时支付货款，每延迟支付1天，甲方须向乙方支付合同总金额千分之三的违约金，但因乙方先期违约导致甲方延期付款的不在此限。</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lang w:val="en-US" w:eastAsia="zh-CN"/>
        </w:rPr>
        <w:t>如乙方送至现场的螺杆使用时间虚假，跟承诺时间差距10%以内的，甲方可视情况协商解决，如跟承诺时间差距超过10%，甲方将处罚不达标型号螺杆合同价格的40%作为违约金，如给甲方造成损失的，需赔偿给甲方造成的一切损失。</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rPr>
        <w:t>如发生第十二条第四款的情形，甲方有权要求乙方支付合同总金额百分之五十的违约金，如给甲方造成损失的，乙方还应承担赔偿责任。</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rPr>
        <w:t>一方违反本合同第十五条的约定，应向对方承担赔偿责任。</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Cs/>
          <w:sz w:val="24"/>
          <w:highlight w:val="none"/>
        </w:rPr>
      </w:pPr>
      <w:r>
        <w:rPr>
          <w:rFonts w:hint="default" w:ascii="Times New Roman" w:hAnsi="Times New Roman" w:eastAsia="仿宋" w:cs="Times New Roman"/>
          <w:b/>
          <w:bCs w:val="0"/>
          <w:kern w:val="2"/>
          <w:sz w:val="24"/>
          <w:szCs w:val="24"/>
          <w:highlight w:val="none"/>
          <w:lang w:val="en-US" w:eastAsia="zh-CN" w:bidi="ar-SA"/>
        </w:rPr>
        <w:t>第十</w:t>
      </w:r>
      <w:r>
        <w:rPr>
          <w:rFonts w:hint="eastAsia" w:eastAsia="仿宋" w:cs="Times New Roman"/>
          <w:b/>
          <w:bCs w:val="0"/>
          <w:kern w:val="2"/>
          <w:sz w:val="24"/>
          <w:szCs w:val="24"/>
          <w:highlight w:val="none"/>
          <w:lang w:val="en-US" w:eastAsia="zh-CN" w:bidi="ar-SA"/>
        </w:rPr>
        <w:t>四</w:t>
      </w:r>
      <w:r>
        <w:rPr>
          <w:rFonts w:hint="default" w:ascii="Times New Roman" w:hAnsi="Times New Roman" w:eastAsia="仿宋" w:cs="Times New Roman"/>
          <w:b/>
          <w:bCs w:val="0"/>
          <w:kern w:val="2"/>
          <w:sz w:val="24"/>
          <w:szCs w:val="24"/>
          <w:highlight w:val="none"/>
          <w:lang w:val="en-US" w:eastAsia="zh-CN" w:bidi="ar-SA"/>
        </w:rPr>
        <w:t>条</w:t>
      </w:r>
      <w:r>
        <w:rPr>
          <w:rFonts w:hint="eastAsia" w:eastAsia="仿宋" w:cs="Times New Roman"/>
          <w:b/>
          <w:bCs w:val="0"/>
          <w:kern w:val="2"/>
          <w:sz w:val="24"/>
          <w:szCs w:val="24"/>
          <w:highlight w:val="none"/>
          <w:lang w:val="en-US" w:eastAsia="zh-CN" w:bidi="ar-SA"/>
        </w:rPr>
        <w:t xml:space="preserve"> </w:t>
      </w:r>
      <w:r>
        <w:rPr>
          <w:rFonts w:hint="eastAsia" w:eastAsia="仿宋"/>
          <w:b/>
          <w:bCs w:val="0"/>
          <w:sz w:val="24"/>
          <w:highlight w:val="none"/>
        </w:rPr>
        <w:t>适用</w:t>
      </w:r>
      <w:r>
        <w:rPr>
          <w:rFonts w:hint="eastAsia" w:eastAsia="仿宋"/>
          <w:b/>
          <w:bCs/>
          <w:sz w:val="24"/>
          <w:highlight w:val="none"/>
        </w:rPr>
        <w:t>法律及争议解决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仿宋"/>
          <w:bCs/>
          <w:sz w:val="24"/>
          <w:highlight w:val="none"/>
        </w:rPr>
      </w:pPr>
      <w:r>
        <w:rPr>
          <w:rFonts w:hint="eastAsia" w:eastAsia="仿宋"/>
          <w:bCs/>
          <w:sz w:val="24"/>
          <w:highlight w:val="none"/>
        </w:rPr>
        <w:t>本合同适用中华人民共和国法律。本合同在履行过程中发生的争议，由双方当事人友好协商解决；协商不成的，应向甲方所在地人民法院提起诉讼。</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w:t>
      </w:r>
      <w:r>
        <w:rPr>
          <w:rFonts w:hint="eastAsia" w:eastAsia="仿宋" w:cs="Times New Roman"/>
          <w:b/>
          <w:bCs/>
          <w:kern w:val="2"/>
          <w:sz w:val="24"/>
          <w:szCs w:val="24"/>
          <w:highlight w:val="none"/>
          <w:lang w:val="en-US" w:eastAsia="zh-CN" w:bidi="ar-SA"/>
        </w:rPr>
        <w:t>五</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保密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一方（“接收方”）因履行本合同所获知或获得的对方（“披露方”）的任何信息、文件、资料、图纸、数据，无论是口头的、书面的、还是以其他任何方式体现的，均属于对方的保密信息，未经披露方事先书面同意，接收方不得公开发表或将其用于本合同之外的任何目的，也不得向其关联方以外的任何第三方公布（开）或转让。</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w:t>
      </w:r>
      <w:r>
        <w:rPr>
          <w:rFonts w:hint="eastAsia" w:eastAsia="仿宋" w:cs="Times New Roman"/>
          <w:b/>
          <w:bCs/>
          <w:kern w:val="2"/>
          <w:sz w:val="24"/>
          <w:szCs w:val="24"/>
          <w:highlight w:val="none"/>
          <w:lang w:val="en-US" w:eastAsia="zh-CN" w:bidi="ar-SA"/>
        </w:rPr>
        <w:t>六</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权利瑕疵担保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乙方应当保证其向甲方销售的任何合同标的不会侵犯任何第三方的权利，并且保证甲方免受任何第三方的索赔，否则，因此而产生的任何义务、责任和甲方所遭受的损失，由乙方承担。</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w:t>
      </w:r>
      <w:r>
        <w:rPr>
          <w:rFonts w:hint="eastAsia" w:eastAsia="仿宋" w:cs="Times New Roman"/>
          <w:b/>
          <w:bCs/>
          <w:kern w:val="2"/>
          <w:sz w:val="24"/>
          <w:szCs w:val="24"/>
          <w:highlight w:val="none"/>
          <w:lang w:val="en-US" w:eastAsia="zh-CN" w:bidi="ar-SA"/>
        </w:rPr>
        <w:t>七</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cs="Times New Roman"/>
          <w:b/>
          <w:bCs/>
          <w:kern w:val="2"/>
          <w:sz w:val="24"/>
          <w:szCs w:val="24"/>
          <w:highlight w:val="none"/>
          <w:lang w:val="en-US" w:eastAsia="zh-CN" w:bidi="ar-SA"/>
        </w:rPr>
        <w:t xml:space="preserve"> </w:t>
      </w:r>
      <w:r>
        <w:rPr>
          <w:rFonts w:hint="eastAsia" w:eastAsia="仿宋"/>
          <w:b/>
          <w:bCs/>
          <w:sz w:val="24"/>
          <w:highlight w:val="none"/>
        </w:rPr>
        <w:t>其他约定事项</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本合同其他未尽事宜，双方可签订补充协议。合同附件及补充协议是本合同不可分割的一部分，与本合同正文具有同等法律效力。如附件及补充协议与本文不一致，以附件及补充协议为准。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本合同自双方法定代表人或其授权代表签字并加盖合同专用章（公章）之日起生效，有效期为一年。</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本合同一式二份，双方各执一份，具有相同的法律效力。</w:t>
      </w:r>
    </w:p>
    <w:p>
      <w:pPr>
        <w:spacing w:before="156" w:beforeLines="50" w:line="360" w:lineRule="exact"/>
        <w:rPr>
          <w:rFonts w:eastAsia="仿宋"/>
          <w:bCs/>
          <w:sz w:val="24"/>
          <w:highlight w:val="none"/>
        </w:rPr>
      </w:pPr>
    </w:p>
    <w:p>
      <w:pPr>
        <w:spacing w:before="156" w:beforeLines="50" w:line="400" w:lineRule="exact"/>
        <w:rPr>
          <w:rFonts w:eastAsia="仿宋"/>
          <w:bCs/>
          <w:sz w:val="24"/>
          <w:highlight w:val="none"/>
        </w:rPr>
      </w:pPr>
    </w:p>
    <w:p>
      <w:pPr>
        <w:spacing w:before="156" w:beforeLines="50" w:line="400" w:lineRule="exact"/>
        <w:rPr>
          <w:rFonts w:eastAsia="仿宋"/>
          <w:bCs/>
          <w:sz w:val="24"/>
          <w:highlight w:val="none"/>
        </w:rPr>
      </w:pPr>
      <w:r>
        <w:rPr>
          <w:rFonts w:hint="eastAsia" w:eastAsia="仿宋"/>
          <w:bCs/>
          <w:sz w:val="24"/>
          <w:highlight w:val="none"/>
        </w:rPr>
        <w:t>甲方(章):江苏长江地质勘查院</w:t>
      </w:r>
    </w:p>
    <w:p>
      <w:pPr>
        <w:widowControl/>
        <w:jc w:val="left"/>
        <w:rPr>
          <w:highlight w:val="none"/>
        </w:rPr>
      </w:pPr>
    </w:p>
    <w:p>
      <w:pPr>
        <w:rPr>
          <w:rFonts w:eastAsia="仿宋"/>
          <w:bCs/>
          <w:sz w:val="24"/>
          <w:highlight w:val="none"/>
        </w:rPr>
      </w:pPr>
      <w:r>
        <w:rPr>
          <w:rFonts w:hint="eastAsia" w:eastAsia="仿宋"/>
          <w:bCs/>
          <w:sz w:val="24"/>
          <w:highlight w:val="none"/>
        </w:rPr>
        <w:t>住   所: 江苏南京栖霞区尧佳路68号19层</w:t>
      </w:r>
    </w:p>
    <w:p>
      <w:pPr>
        <w:spacing w:before="156" w:beforeLines="50" w:line="400" w:lineRule="exact"/>
        <w:rPr>
          <w:rFonts w:eastAsia="仿宋"/>
          <w:bCs/>
          <w:sz w:val="24"/>
          <w:highlight w:val="none"/>
        </w:rPr>
      </w:pPr>
      <w:r>
        <w:rPr>
          <w:rFonts w:hint="eastAsia" w:eastAsia="仿宋"/>
          <w:bCs/>
          <w:sz w:val="24"/>
          <w:highlight w:val="none"/>
        </w:rPr>
        <w:t xml:space="preserve">法定代表人: </w:t>
      </w:r>
    </w:p>
    <w:p>
      <w:pPr>
        <w:spacing w:before="156" w:beforeLines="50" w:line="400" w:lineRule="exact"/>
        <w:rPr>
          <w:rFonts w:eastAsia="仿宋"/>
          <w:bCs/>
          <w:sz w:val="24"/>
          <w:highlight w:val="none"/>
        </w:rPr>
      </w:pPr>
      <w:r>
        <w:rPr>
          <w:rFonts w:hint="eastAsia" w:eastAsia="仿宋"/>
          <w:bCs/>
          <w:sz w:val="24"/>
          <w:highlight w:val="none"/>
        </w:rPr>
        <w:t>委托代理人:</w:t>
      </w:r>
    </w:p>
    <w:p>
      <w:pPr>
        <w:spacing w:before="156" w:beforeLines="50" w:line="400" w:lineRule="exact"/>
        <w:rPr>
          <w:rFonts w:eastAsia="仿宋"/>
          <w:bCs/>
          <w:sz w:val="24"/>
          <w:highlight w:val="none"/>
        </w:rPr>
      </w:pPr>
      <w:r>
        <w:rPr>
          <w:rFonts w:hint="eastAsia" w:eastAsia="仿宋"/>
          <w:bCs/>
          <w:sz w:val="24"/>
          <w:highlight w:val="none"/>
        </w:rPr>
        <w:t xml:space="preserve">电    话: </w:t>
      </w:r>
      <w:r>
        <w:rPr>
          <w:rFonts w:eastAsia="仿宋"/>
          <w:bCs/>
          <w:sz w:val="24"/>
          <w:highlight w:val="none"/>
        </w:rPr>
        <w:t>025-86975818</w:t>
      </w:r>
    </w:p>
    <w:p>
      <w:pPr>
        <w:spacing w:before="156" w:beforeLines="50" w:line="400" w:lineRule="exact"/>
        <w:rPr>
          <w:rFonts w:eastAsia="仿宋"/>
          <w:bCs/>
          <w:sz w:val="24"/>
          <w:highlight w:val="none"/>
        </w:rPr>
      </w:pPr>
      <w:r>
        <w:rPr>
          <w:rFonts w:hint="eastAsia" w:eastAsia="仿宋"/>
          <w:bCs/>
          <w:sz w:val="24"/>
          <w:highlight w:val="none"/>
        </w:rPr>
        <w:t>开户银行: 中国建设银行尧化门支行</w:t>
      </w:r>
    </w:p>
    <w:p>
      <w:pPr>
        <w:spacing w:before="156" w:beforeLines="50" w:line="400" w:lineRule="exact"/>
        <w:rPr>
          <w:rFonts w:eastAsia="仿宋"/>
          <w:bCs/>
          <w:sz w:val="24"/>
          <w:highlight w:val="none"/>
        </w:rPr>
      </w:pPr>
      <w:r>
        <w:rPr>
          <w:rFonts w:hint="eastAsia" w:eastAsia="仿宋"/>
          <w:bCs/>
          <w:sz w:val="24"/>
          <w:highlight w:val="none"/>
        </w:rPr>
        <w:t>行    号: 105304000800</w:t>
      </w:r>
    </w:p>
    <w:p>
      <w:pPr>
        <w:spacing w:before="156" w:beforeLines="50" w:line="400" w:lineRule="exact"/>
        <w:rPr>
          <w:rFonts w:eastAsia="仿宋"/>
          <w:bCs/>
          <w:sz w:val="24"/>
          <w:highlight w:val="none"/>
        </w:rPr>
      </w:pPr>
      <w:r>
        <w:rPr>
          <w:rFonts w:hint="eastAsia" w:eastAsia="仿宋"/>
          <w:bCs/>
          <w:sz w:val="24"/>
          <w:highlight w:val="none"/>
        </w:rPr>
        <w:t xml:space="preserve">账    号: </w:t>
      </w:r>
      <w:r>
        <w:rPr>
          <w:rFonts w:eastAsia="仿宋"/>
          <w:bCs/>
          <w:sz w:val="24"/>
          <w:highlight w:val="none"/>
        </w:rPr>
        <w:t>32001597338052500453</w:t>
      </w:r>
    </w:p>
    <w:p>
      <w:pPr>
        <w:spacing w:before="156" w:beforeLines="50" w:line="400" w:lineRule="exact"/>
        <w:rPr>
          <w:rFonts w:eastAsia="仿宋"/>
          <w:bCs/>
          <w:sz w:val="24"/>
          <w:highlight w:val="none"/>
        </w:rPr>
      </w:pPr>
      <w:r>
        <w:rPr>
          <w:rFonts w:hint="eastAsia" w:eastAsia="仿宋"/>
          <w:bCs/>
          <w:sz w:val="24"/>
          <w:highlight w:val="none"/>
        </w:rPr>
        <w:t xml:space="preserve">税    号: </w:t>
      </w:r>
      <w:r>
        <w:rPr>
          <w:rFonts w:eastAsia="仿宋"/>
          <w:bCs/>
          <w:sz w:val="24"/>
          <w:highlight w:val="none"/>
        </w:rPr>
        <w:t>1210000071780249X9</w:t>
      </w:r>
    </w:p>
    <w:p>
      <w:pPr>
        <w:pStyle w:val="3"/>
        <w:rPr>
          <w:rFonts w:eastAsia="仿宋"/>
          <w:bCs/>
          <w:sz w:val="24"/>
          <w:highlight w:val="none"/>
        </w:rPr>
      </w:pPr>
    </w:p>
    <w:p>
      <w:pPr>
        <w:spacing w:before="156" w:beforeLines="50" w:line="360" w:lineRule="exact"/>
        <w:rPr>
          <w:rFonts w:eastAsia="仿宋"/>
          <w:bCs/>
          <w:sz w:val="24"/>
          <w:highlight w:val="none"/>
        </w:rPr>
      </w:pPr>
      <w:r>
        <w:rPr>
          <w:rFonts w:hint="eastAsia" w:eastAsia="仿宋"/>
          <w:bCs/>
          <w:sz w:val="24"/>
          <w:highlight w:val="none"/>
        </w:rPr>
        <w:t>乙方(章):</w:t>
      </w:r>
      <w:r>
        <w:rPr>
          <w:rFonts w:hint="eastAsia"/>
          <w:sz w:val="18"/>
          <w:szCs w:val="18"/>
          <w:highlight w:val="none"/>
        </w:rPr>
        <w:t xml:space="preserve"> </w:t>
      </w:r>
    </w:p>
    <w:p>
      <w:pPr>
        <w:spacing w:before="156" w:beforeLines="50" w:line="400" w:lineRule="exact"/>
        <w:rPr>
          <w:rFonts w:eastAsia="仿宋"/>
          <w:bCs/>
          <w:sz w:val="24"/>
          <w:highlight w:val="none"/>
        </w:rPr>
      </w:pPr>
      <w:r>
        <w:rPr>
          <w:rFonts w:hint="eastAsia" w:eastAsia="仿宋"/>
          <w:bCs/>
          <w:sz w:val="24"/>
          <w:highlight w:val="none"/>
        </w:rPr>
        <w:t xml:space="preserve">住     所:           </w:t>
      </w:r>
    </w:p>
    <w:p>
      <w:pPr>
        <w:spacing w:before="156" w:beforeLines="50" w:line="400" w:lineRule="exact"/>
        <w:rPr>
          <w:rFonts w:hint="eastAsia" w:eastAsia="仿宋"/>
          <w:bCs/>
          <w:sz w:val="24"/>
          <w:highlight w:val="none"/>
          <w:lang w:val="en-US" w:eastAsia="zh-CN"/>
        </w:rPr>
      </w:pPr>
      <w:r>
        <w:rPr>
          <w:rFonts w:hint="eastAsia" w:eastAsia="仿宋"/>
          <w:bCs/>
          <w:sz w:val="24"/>
          <w:highlight w:val="none"/>
        </w:rPr>
        <w:t>法定代表人</w:t>
      </w:r>
      <w:r>
        <w:rPr>
          <w:rFonts w:hint="eastAsia" w:eastAsia="仿宋"/>
          <w:bCs/>
          <w:sz w:val="24"/>
          <w:highlight w:val="none"/>
          <w:lang w:val="en-US" w:eastAsia="zh-CN"/>
        </w:rPr>
        <w:t>:</w:t>
      </w:r>
    </w:p>
    <w:p>
      <w:pPr>
        <w:spacing w:before="156" w:beforeLines="50" w:line="400" w:lineRule="exact"/>
        <w:rPr>
          <w:rFonts w:hint="eastAsia" w:eastAsia="仿宋"/>
          <w:bCs/>
          <w:sz w:val="24"/>
          <w:highlight w:val="none"/>
          <w:lang w:val="en-US" w:eastAsia="zh-CN"/>
        </w:rPr>
      </w:pPr>
      <w:r>
        <w:rPr>
          <w:rFonts w:hint="eastAsia" w:eastAsia="仿宋"/>
          <w:bCs/>
          <w:sz w:val="24"/>
          <w:highlight w:val="none"/>
        </w:rPr>
        <w:t>委托代理人</w:t>
      </w:r>
      <w:r>
        <w:rPr>
          <w:rFonts w:hint="eastAsia" w:eastAsia="仿宋"/>
          <w:bCs/>
          <w:sz w:val="24"/>
          <w:highlight w:val="none"/>
          <w:lang w:val="en-US" w:eastAsia="zh-CN"/>
        </w:rPr>
        <w:t>:</w:t>
      </w:r>
    </w:p>
    <w:p>
      <w:pPr>
        <w:spacing w:before="156" w:beforeLines="50" w:line="400" w:lineRule="exact"/>
        <w:rPr>
          <w:rFonts w:eastAsia="仿宋"/>
          <w:bCs/>
          <w:sz w:val="24"/>
          <w:highlight w:val="none"/>
        </w:rPr>
      </w:pPr>
      <w:r>
        <w:rPr>
          <w:rFonts w:hint="eastAsia" w:eastAsia="仿宋"/>
          <w:bCs/>
          <w:sz w:val="24"/>
          <w:highlight w:val="none"/>
        </w:rPr>
        <w:t xml:space="preserve">电    话:          </w:t>
      </w:r>
    </w:p>
    <w:p>
      <w:pPr>
        <w:spacing w:before="156" w:beforeLines="50" w:line="400" w:lineRule="exact"/>
        <w:rPr>
          <w:rFonts w:eastAsia="仿宋"/>
          <w:bCs/>
          <w:sz w:val="24"/>
          <w:highlight w:val="none"/>
        </w:rPr>
      </w:pPr>
      <w:r>
        <w:rPr>
          <w:rFonts w:hint="eastAsia" w:eastAsia="仿宋"/>
          <w:bCs/>
          <w:sz w:val="24"/>
          <w:highlight w:val="none"/>
        </w:rPr>
        <w:t xml:space="preserve">传    真:  </w:t>
      </w:r>
    </w:p>
    <w:p>
      <w:pPr>
        <w:spacing w:before="156" w:beforeLines="50" w:line="400" w:lineRule="exact"/>
        <w:rPr>
          <w:rFonts w:hint="eastAsia" w:eastAsia="仿宋"/>
          <w:bCs/>
          <w:sz w:val="24"/>
          <w:highlight w:val="none"/>
        </w:rPr>
      </w:pPr>
      <w:r>
        <w:rPr>
          <w:rFonts w:hint="eastAsia" w:eastAsia="仿宋"/>
          <w:bCs/>
          <w:sz w:val="24"/>
          <w:highlight w:val="none"/>
        </w:rPr>
        <w:t xml:space="preserve">开户银行: </w:t>
      </w:r>
    </w:p>
    <w:p>
      <w:pPr>
        <w:spacing w:before="156" w:beforeLines="50" w:line="400" w:lineRule="exact"/>
        <w:rPr>
          <w:rFonts w:hint="eastAsia"/>
          <w:b/>
          <w:sz w:val="28"/>
          <w:szCs w:val="28"/>
          <w:highlight w:val="none"/>
        </w:rPr>
      </w:pPr>
      <w:r>
        <w:rPr>
          <w:rFonts w:hint="eastAsia" w:eastAsia="仿宋"/>
          <w:bCs/>
          <w:sz w:val="24"/>
          <w:highlight w:val="none"/>
        </w:rPr>
        <w:t>账    号:</w:t>
      </w:r>
      <w:r>
        <w:rPr>
          <w:rFonts w:hint="eastAsia"/>
          <w:b/>
          <w:sz w:val="28"/>
          <w:szCs w:val="28"/>
          <w:highlight w:val="none"/>
        </w:rPr>
        <w:t xml:space="preserve"> </w:t>
      </w:r>
    </w:p>
    <w:p>
      <w:pPr>
        <w:spacing w:before="156" w:beforeLines="50" w:line="400" w:lineRule="exact"/>
        <w:rPr>
          <w:rFonts w:hint="eastAsia" w:eastAsia="仿宋"/>
          <w:bCs/>
          <w:sz w:val="24"/>
          <w:highlight w:val="none"/>
        </w:rPr>
      </w:pPr>
      <w:r>
        <w:rPr>
          <w:rFonts w:hint="eastAsia" w:eastAsia="仿宋"/>
          <w:bCs/>
          <w:sz w:val="24"/>
          <w:highlight w:val="none"/>
        </w:rPr>
        <w:t>税    号:</w:t>
      </w:r>
    </w:p>
    <w:p>
      <w:pPr>
        <w:pStyle w:val="3"/>
        <w:rPr>
          <w:highlight w:val="none"/>
        </w:rPr>
      </w:pPr>
    </w:p>
    <w:p>
      <w:pPr>
        <w:spacing w:line="300" w:lineRule="auto"/>
        <w:jc w:val="center"/>
        <w:rPr>
          <w:rFonts w:hAnsi="仿宋" w:eastAsia="仿宋"/>
          <w:b/>
          <w:bCs/>
          <w:sz w:val="28"/>
          <w:highlight w:val="none"/>
          <w:u w:val="single"/>
        </w:rPr>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p>
    <w:p>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pPr>
        <w:pStyle w:val="2"/>
        <w:rPr>
          <w:highlight w:val="non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rPr>
        <w:t>响应文件</w:t>
      </w:r>
      <w:bookmarkEnd w:id="20"/>
      <w:bookmarkEnd w:id="21"/>
    </w:p>
    <w:p>
      <w:pPr>
        <w:jc w:val="center"/>
        <w:rPr>
          <w:rFonts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rPr>
        <w:t xml:space="preserve">         投标人：</w:t>
      </w:r>
      <w:bookmarkEnd w:id="24"/>
      <w:bookmarkEnd w:id="25"/>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宋体" w:hAnsi="宋体" w:cs="宋体"/>
          <w:sz w:val="32"/>
          <w:szCs w:val="32"/>
          <w:highlight w:val="none"/>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26"/>
      <w:bookmarkEnd w:id="27"/>
    </w:p>
    <w:p>
      <w:pPr>
        <w:rPr>
          <w:rStyle w:val="30"/>
          <w:rFonts w:hint="eastAsia" w:ascii="宋体" w:hAnsi="宋体"/>
          <w:b w:val="0"/>
          <w:highlight w:val="none"/>
        </w:rPr>
      </w:pPr>
      <w:r>
        <w:rPr>
          <w:rStyle w:val="30"/>
          <w:rFonts w:hint="eastAsia" w:ascii="宋体" w:hAnsi="宋体"/>
          <w:b w:val="0"/>
          <w:highlight w:val="none"/>
        </w:rPr>
        <w:br w:type="page"/>
      </w:r>
    </w:p>
    <w:p>
      <w:pPr>
        <w:jc w:val="center"/>
        <w:rPr>
          <w:rStyle w:val="30"/>
          <w:rFonts w:hint="eastAsia" w:ascii="宋体" w:hAnsi="宋体"/>
          <w:b w:val="0"/>
          <w:highlight w:val="none"/>
        </w:rPr>
      </w:pPr>
      <w:r>
        <w:rPr>
          <w:rStyle w:val="30"/>
          <w:rFonts w:hint="eastAsia" w:ascii="宋体" w:hAnsi="宋体"/>
          <w:b w:val="0"/>
          <w:highlight w:val="none"/>
        </w:rPr>
        <w:t>一、</w:t>
      </w:r>
      <w:r>
        <w:rPr>
          <w:rStyle w:val="30"/>
          <w:rFonts w:ascii="宋体" w:hAnsi="宋体"/>
          <w:b w:val="0"/>
          <w:highlight w:val="none"/>
        </w:rPr>
        <w:t>投标函</w:t>
      </w:r>
    </w:p>
    <w:p>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（投标人全称）授权（全权代表姓名、职务、职称）为全权代表，参加贵方组织的（采购编号、项目名称）的有关活动，为此：</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1.提供投标人须知规定的全部比选文件（正本[ 1 ]份，副本[1]份、电子版[ 1 ]份）。</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2.提供按比选文件要求的货物/服务的报价。（详见 附件）。</w:t>
      </w:r>
    </w:p>
    <w:p>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将按比选文件的规定履行全部责任和义务。</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已详细审查全部比选文件，我们完全理解并同意放弃对比选文件提出质疑及/或争议的权利。</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6.如果在规定的递交比选文件截止时间后，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13.与本比选文件有关的一切往来通讯请寄：</w:t>
      </w:r>
    </w:p>
    <w:p>
      <w:pPr>
        <w:spacing w:line="530" w:lineRule="exact"/>
        <w:ind w:firstLine="640" w:firstLineChars="200"/>
        <w:rPr>
          <w:rFonts w:hint="eastAsia" w:ascii="宋体" w:hAnsi="宋体"/>
          <w:sz w:val="32"/>
          <w:szCs w:val="32"/>
          <w:highlight w:val="none"/>
        </w:rPr>
      </w:pP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投标人名称（盖章）：</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3"/>
        <w:spacing w:line="530" w:lineRule="exact"/>
        <w:rPr>
          <w:sz w:val="32"/>
          <w:szCs w:val="32"/>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rPr>
          <w:highlight w:val="none"/>
        </w:rPr>
      </w:pPr>
    </w:p>
    <w:p>
      <w:pPr>
        <w:pStyle w:val="2"/>
        <w:rPr>
          <w:highlight w:val="none"/>
        </w:rPr>
      </w:pPr>
    </w:p>
    <w:p>
      <w:pPr>
        <w:pStyle w:val="2"/>
        <w:rPr>
          <w:highlight w:val="none"/>
        </w:rPr>
      </w:pPr>
    </w:p>
    <w:p>
      <w:pPr>
        <w:jc w:val="center"/>
        <w:rPr>
          <w:rStyle w:val="30"/>
          <w:rFonts w:hint="eastAsia" w:ascii="宋体" w:hAnsi="宋体" w:cstheme="minorBidi"/>
          <w:b w:val="0"/>
          <w:highlight w:val="none"/>
        </w:rPr>
      </w:pPr>
      <w:r>
        <w:rPr>
          <w:rStyle w:val="30"/>
          <w:rFonts w:hint="eastAsia" w:ascii="宋体" w:hAnsi="宋体" w:cstheme="minorBidi"/>
          <w:b w:val="0"/>
          <w:highlight w:val="none"/>
        </w:rPr>
        <w:t>二、江苏长江地质勘查院螺杆采购报价表</w:t>
      </w:r>
    </w:p>
    <w:p>
      <w:pPr>
        <w:jc w:val="center"/>
        <w:rPr>
          <w:rStyle w:val="30"/>
          <w:rFonts w:ascii="宋体" w:hAnsi="宋体" w:cstheme="minorBidi"/>
          <w:b w:val="0"/>
          <w:highlight w:val="none"/>
        </w:rPr>
      </w:pPr>
      <w:r>
        <w:rPr>
          <w:rStyle w:val="30"/>
          <w:rFonts w:hint="eastAsia" w:ascii="宋体" w:hAnsi="宋体" w:cstheme="minorBidi"/>
          <w:b w:val="0"/>
          <w:highlight w:val="none"/>
        </w:rPr>
        <w:t>螺杆采购报价单</w:t>
      </w:r>
      <w:bookmarkStart w:id="28" w:name="_Toc1604"/>
    </w:p>
    <w:tbl>
      <w:tblPr>
        <w:tblStyle w:val="24"/>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600"/>
        <w:gridCol w:w="1779"/>
        <w:gridCol w:w="660"/>
        <w:gridCol w:w="830"/>
        <w:gridCol w:w="547"/>
        <w:gridCol w:w="968"/>
        <w:gridCol w:w="913"/>
        <w:gridCol w:w="912"/>
        <w:gridCol w:w="96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序号</w:t>
            </w:r>
          </w:p>
        </w:tc>
        <w:tc>
          <w:tcPr>
            <w:tcW w:w="600"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名称</w:t>
            </w:r>
          </w:p>
        </w:tc>
        <w:tc>
          <w:tcPr>
            <w:tcW w:w="1779"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规格型号</w:t>
            </w:r>
          </w:p>
        </w:tc>
        <w:tc>
          <w:tcPr>
            <w:tcW w:w="660"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扶正器规格</w:t>
            </w:r>
          </w:p>
        </w:tc>
        <w:tc>
          <w:tcPr>
            <w:tcW w:w="830"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接头规格</w:t>
            </w:r>
          </w:p>
        </w:tc>
        <w:tc>
          <w:tcPr>
            <w:tcW w:w="547"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采购数量</w:t>
            </w:r>
          </w:p>
        </w:tc>
        <w:tc>
          <w:tcPr>
            <w:tcW w:w="968" w:type="dxa"/>
          </w:tcPr>
          <w:p>
            <w:pPr>
              <w:jc w:val="center"/>
              <w:rPr>
                <w:rFonts w:hint="eastAsia" w:ascii="仿宋_GB2312" w:hAnsi="宋体" w:eastAsia="仿宋_GB2312"/>
                <w:snapToGrid w:val="0"/>
                <w:sz w:val="24"/>
                <w:szCs w:val="24"/>
                <w:highlight w:val="none"/>
                <w:lang w:eastAsia="zh-CN"/>
              </w:rPr>
            </w:pPr>
            <w:r>
              <w:rPr>
                <w:rFonts w:hint="eastAsia" w:ascii="仿宋_GB2312" w:hAnsi="宋体" w:eastAsia="仿宋_GB2312"/>
                <w:snapToGrid w:val="0"/>
                <w:sz w:val="24"/>
                <w:szCs w:val="24"/>
                <w:highlight w:val="none"/>
                <w:lang w:val="en-US" w:eastAsia="zh-CN"/>
              </w:rPr>
              <w:t>税率</w:t>
            </w:r>
          </w:p>
        </w:tc>
        <w:tc>
          <w:tcPr>
            <w:tcW w:w="913" w:type="dxa"/>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含税单价</w:t>
            </w:r>
          </w:p>
        </w:tc>
        <w:tc>
          <w:tcPr>
            <w:tcW w:w="912" w:type="dxa"/>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含税总价</w:t>
            </w:r>
          </w:p>
        </w:tc>
        <w:tc>
          <w:tcPr>
            <w:tcW w:w="968" w:type="dxa"/>
            <w:vAlign w:val="top"/>
          </w:tcPr>
          <w:p>
            <w:pPr>
              <w:jc w:val="center"/>
              <w:rPr>
                <w:highlight w:val="none"/>
              </w:rPr>
            </w:pPr>
            <w:r>
              <w:rPr>
                <w:rFonts w:hint="eastAsia" w:ascii="仿宋_GB2312" w:hAnsi="宋体" w:eastAsia="仿宋_GB2312"/>
                <w:snapToGrid w:val="0"/>
                <w:sz w:val="24"/>
                <w:szCs w:val="24"/>
                <w:highlight w:val="none"/>
              </w:rPr>
              <w:t>备注</w:t>
            </w:r>
          </w:p>
        </w:tc>
        <w:tc>
          <w:tcPr>
            <w:tcW w:w="911" w:type="dxa"/>
          </w:tcPr>
          <w:p>
            <w:pPr>
              <w:jc w:val="center"/>
              <w:rPr>
                <w:rFonts w:hint="eastAsia" w:ascii="仿宋_GB2312" w:hAnsi="宋体" w:eastAsia="仿宋_GB2312"/>
                <w:snapToGrid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1779"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-1.25°</w:t>
            </w:r>
          </w:p>
        </w:tc>
        <w:tc>
          <w:tcPr>
            <w:tcW w:w="66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547"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4</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highlight w:val="none"/>
              </w:rPr>
            </w:pP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1779"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-1.5°</w:t>
            </w:r>
          </w:p>
        </w:tc>
        <w:tc>
          <w:tcPr>
            <w:tcW w:w="66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547"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highlight w:val="none"/>
              </w:rPr>
            </w:pP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3</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185螺杆</w:t>
            </w:r>
          </w:p>
        </w:tc>
        <w:tc>
          <w:tcPr>
            <w:tcW w:w="1779"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-1.75°</w:t>
            </w:r>
          </w:p>
        </w:tc>
        <w:tc>
          <w:tcPr>
            <w:tcW w:w="66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238mm</w:t>
            </w: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630-410</w:t>
            </w:r>
          </w:p>
        </w:tc>
        <w:tc>
          <w:tcPr>
            <w:tcW w:w="547"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highlight w:val="none"/>
              </w:rPr>
            </w:pP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4</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120螺杆</w:t>
            </w:r>
          </w:p>
        </w:tc>
        <w:tc>
          <w:tcPr>
            <w:tcW w:w="1779" w:type="dxa"/>
            <w:vAlign w:val="center"/>
          </w:tcPr>
          <w:p>
            <w:pPr>
              <w:jc w:val="left"/>
              <w:rPr>
                <w:rFonts w:hint="eastAsia" w:ascii="仿宋_GB2312" w:hAnsi="宋体" w:eastAsia="仿宋_GB2312"/>
                <w:snapToGrid w:val="0"/>
                <w:sz w:val="24"/>
                <w:szCs w:val="24"/>
                <w:highlight w:val="none"/>
              </w:rPr>
            </w:pPr>
            <w:r>
              <w:rPr>
                <w:rFonts w:ascii="仿宋_GB2312" w:hAnsi="宋体" w:eastAsia="仿宋_GB2312"/>
                <w:snapToGrid w:val="0"/>
                <w:sz w:val="24"/>
                <w:szCs w:val="24"/>
                <w:highlight w:val="none"/>
              </w:rPr>
              <w:t>7LZ185*7.0</w:t>
            </w:r>
            <w:r>
              <w:rPr>
                <w:rFonts w:hint="eastAsia" w:ascii="仿宋_GB2312" w:hAnsi="宋体" w:eastAsia="仿宋_GB2312"/>
                <w:snapToGrid w:val="0"/>
                <w:sz w:val="24"/>
                <w:szCs w:val="24"/>
                <w:highlight w:val="none"/>
              </w:rPr>
              <w:t>-1.5°</w:t>
            </w:r>
          </w:p>
        </w:tc>
        <w:tc>
          <w:tcPr>
            <w:tcW w:w="66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无扶正器</w:t>
            </w: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330-310</w:t>
            </w:r>
          </w:p>
        </w:tc>
        <w:tc>
          <w:tcPr>
            <w:tcW w:w="547"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highlight w:val="none"/>
              </w:rPr>
            </w:pPr>
            <w:r>
              <w:rPr>
                <w:rFonts w:hint="eastAsia" w:ascii="仿宋_GB2312" w:hAnsi="宋体" w:eastAsia="仿宋_GB2312"/>
                <w:snapToGrid w:val="0"/>
                <w:sz w:val="24"/>
                <w:szCs w:val="24"/>
                <w:highlight w:val="none"/>
              </w:rPr>
              <w:t>不带旁通阀</w:t>
            </w: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5</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172直螺杆</w:t>
            </w:r>
          </w:p>
        </w:tc>
        <w:tc>
          <w:tcPr>
            <w:tcW w:w="1779" w:type="dxa"/>
            <w:vAlign w:val="center"/>
          </w:tcPr>
          <w:p>
            <w:pPr>
              <w:jc w:val="left"/>
              <w:rPr>
                <w:rFonts w:ascii="仿宋_GB2312" w:hAnsi="宋体" w:eastAsia="仿宋_GB2312"/>
                <w:snapToGrid w:val="0"/>
                <w:sz w:val="24"/>
                <w:szCs w:val="24"/>
                <w:highlight w:val="none"/>
              </w:rPr>
            </w:pPr>
          </w:p>
        </w:tc>
        <w:tc>
          <w:tcPr>
            <w:tcW w:w="660" w:type="dxa"/>
            <w:vAlign w:val="center"/>
          </w:tcPr>
          <w:p>
            <w:pPr>
              <w:jc w:val="center"/>
              <w:rPr>
                <w:rFonts w:hint="eastAsia" w:ascii="仿宋_GB2312" w:hAnsi="宋体" w:eastAsia="仿宋_GB2312"/>
                <w:snapToGrid w:val="0"/>
                <w:sz w:val="24"/>
                <w:szCs w:val="24"/>
                <w:highlight w:val="none"/>
              </w:rPr>
            </w:pP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接头扣型430-410</w:t>
            </w:r>
          </w:p>
        </w:tc>
        <w:tc>
          <w:tcPr>
            <w:tcW w:w="547"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1</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rFonts w:hint="eastAsia" w:ascii="仿宋_GB2312" w:hAnsi="宋体" w:eastAsia="仿宋_GB2312"/>
                <w:snapToGrid w:val="0"/>
                <w:sz w:val="24"/>
                <w:szCs w:val="24"/>
                <w:highlight w:val="none"/>
              </w:rPr>
            </w:pP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6</w:t>
            </w:r>
          </w:p>
        </w:tc>
        <w:tc>
          <w:tcPr>
            <w:tcW w:w="60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120直螺杆</w:t>
            </w:r>
          </w:p>
        </w:tc>
        <w:tc>
          <w:tcPr>
            <w:tcW w:w="1779" w:type="dxa"/>
            <w:vAlign w:val="center"/>
          </w:tcPr>
          <w:p>
            <w:pPr>
              <w:jc w:val="left"/>
              <w:rPr>
                <w:rFonts w:ascii="仿宋_GB2312" w:hAnsi="宋体" w:eastAsia="仿宋_GB2312"/>
                <w:snapToGrid w:val="0"/>
                <w:sz w:val="24"/>
                <w:szCs w:val="24"/>
                <w:highlight w:val="none"/>
              </w:rPr>
            </w:pPr>
          </w:p>
        </w:tc>
        <w:tc>
          <w:tcPr>
            <w:tcW w:w="660" w:type="dxa"/>
            <w:vAlign w:val="center"/>
          </w:tcPr>
          <w:p>
            <w:pPr>
              <w:jc w:val="center"/>
              <w:rPr>
                <w:rFonts w:hint="eastAsia" w:ascii="仿宋_GB2312" w:hAnsi="宋体" w:eastAsia="仿宋_GB2312"/>
                <w:snapToGrid w:val="0"/>
                <w:sz w:val="24"/>
                <w:szCs w:val="24"/>
                <w:highlight w:val="none"/>
              </w:rPr>
            </w:pPr>
          </w:p>
        </w:tc>
        <w:tc>
          <w:tcPr>
            <w:tcW w:w="830" w:type="dxa"/>
            <w:vAlign w:val="center"/>
          </w:tcPr>
          <w:p>
            <w:pPr>
              <w:jc w:val="center"/>
              <w:rPr>
                <w:rFonts w:hint="eastAsia" w:ascii="仿宋_GB2312" w:hAnsi="宋体" w:eastAsia="仿宋_GB2312"/>
                <w:snapToGrid w:val="0"/>
                <w:sz w:val="24"/>
                <w:szCs w:val="24"/>
                <w:highlight w:val="none"/>
              </w:rPr>
            </w:pPr>
            <w:r>
              <w:rPr>
                <w:rFonts w:hint="eastAsia" w:ascii="仿宋_GB2312" w:hAnsi="宋体" w:eastAsia="仿宋_GB2312"/>
                <w:snapToGrid w:val="0"/>
                <w:sz w:val="24"/>
                <w:szCs w:val="24"/>
                <w:highlight w:val="none"/>
              </w:rPr>
              <w:t>接头扣型330-310</w:t>
            </w:r>
          </w:p>
        </w:tc>
        <w:tc>
          <w:tcPr>
            <w:tcW w:w="547" w:type="dxa"/>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1</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rFonts w:hint="eastAsia" w:ascii="仿宋_GB2312" w:hAnsi="宋体" w:eastAsia="仿宋_GB2312"/>
                <w:snapToGrid w:val="0"/>
                <w:sz w:val="24"/>
                <w:szCs w:val="24"/>
                <w:highlight w:val="none"/>
              </w:rPr>
            </w:pPr>
          </w:p>
        </w:tc>
        <w:tc>
          <w:tcPr>
            <w:tcW w:w="911" w:type="dxa"/>
          </w:tcPr>
          <w:p>
            <w:pPr>
              <w:jc w:val="center"/>
              <w:rPr>
                <w:rFonts w:hint="eastAsia" w:ascii="仿宋_GB2312" w:hAnsi="宋体" w:eastAsia="仿宋_GB2312"/>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16" w:type="dxa"/>
            <w:gridSpan w:val="6"/>
            <w:vAlign w:val="center"/>
          </w:tcPr>
          <w:p>
            <w:pPr>
              <w:jc w:val="center"/>
              <w:rPr>
                <w:rFonts w:hint="eastAsia" w:ascii="仿宋_GB2312" w:hAnsi="宋体" w:eastAsia="仿宋_GB2312"/>
                <w:snapToGrid w:val="0"/>
                <w:sz w:val="24"/>
                <w:szCs w:val="24"/>
                <w:highlight w:val="none"/>
                <w:lang w:val="en-US" w:eastAsia="zh-CN"/>
              </w:rPr>
            </w:pPr>
            <w:r>
              <w:rPr>
                <w:rFonts w:hint="eastAsia" w:ascii="仿宋_GB2312" w:hAnsi="宋体" w:eastAsia="仿宋_GB2312"/>
                <w:snapToGrid w:val="0"/>
                <w:sz w:val="24"/>
                <w:szCs w:val="24"/>
                <w:highlight w:val="none"/>
                <w:lang w:val="en-US" w:eastAsia="zh-CN"/>
              </w:rPr>
              <w:t>合计</w:t>
            </w:r>
          </w:p>
        </w:tc>
        <w:tc>
          <w:tcPr>
            <w:tcW w:w="968" w:type="dxa"/>
            <w:vAlign w:val="center"/>
          </w:tcPr>
          <w:p>
            <w:pPr>
              <w:jc w:val="center"/>
              <w:rPr>
                <w:rFonts w:hint="eastAsia" w:ascii="仿宋_GB2312" w:hAnsi="宋体" w:eastAsia="仿宋_GB2312"/>
                <w:snapToGrid w:val="0"/>
                <w:sz w:val="24"/>
                <w:szCs w:val="24"/>
                <w:highlight w:val="none"/>
              </w:rPr>
            </w:pPr>
          </w:p>
        </w:tc>
        <w:tc>
          <w:tcPr>
            <w:tcW w:w="913" w:type="dxa"/>
          </w:tcPr>
          <w:p>
            <w:pPr>
              <w:jc w:val="center"/>
              <w:rPr>
                <w:rFonts w:hint="eastAsia" w:ascii="仿宋_GB2312" w:hAnsi="宋体" w:eastAsia="仿宋_GB2312"/>
                <w:snapToGrid w:val="0"/>
                <w:sz w:val="24"/>
                <w:szCs w:val="24"/>
                <w:highlight w:val="none"/>
              </w:rPr>
            </w:pPr>
          </w:p>
        </w:tc>
        <w:tc>
          <w:tcPr>
            <w:tcW w:w="912" w:type="dxa"/>
          </w:tcPr>
          <w:p>
            <w:pPr>
              <w:jc w:val="center"/>
              <w:rPr>
                <w:rFonts w:hint="eastAsia" w:ascii="仿宋_GB2312" w:hAnsi="宋体" w:eastAsia="仿宋_GB2312"/>
                <w:snapToGrid w:val="0"/>
                <w:sz w:val="24"/>
                <w:szCs w:val="24"/>
                <w:highlight w:val="none"/>
              </w:rPr>
            </w:pPr>
          </w:p>
        </w:tc>
        <w:tc>
          <w:tcPr>
            <w:tcW w:w="968" w:type="dxa"/>
            <w:vAlign w:val="center"/>
          </w:tcPr>
          <w:p>
            <w:pPr>
              <w:jc w:val="center"/>
              <w:rPr>
                <w:rFonts w:hint="eastAsia" w:ascii="仿宋_GB2312" w:hAnsi="宋体" w:eastAsia="仿宋_GB2312"/>
                <w:snapToGrid w:val="0"/>
                <w:sz w:val="24"/>
                <w:szCs w:val="24"/>
                <w:highlight w:val="none"/>
              </w:rPr>
            </w:pPr>
          </w:p>
        </w:tc>
        <w:tc>
          <w:tcPr>
            <w:tcW w:w="911" w:type="dxa"/>
          </w:tcPr>
          <w:p>
            <w:pPr>
              <w:jc w:val="center"/>
              <w:rPr>
                <w:rFonts w:hint="eastAsia" w:ascii="仿宋_GB2312" w:hAnsi="宋体" w:eastAsia="仿宋_GB2312"/>
                <w:snapToGrid w:val="0"/>
                <w:sz w:val="24"/>
                <w:szCs w:val="24"/>
                <w:highlight w:val="none"/>
              </w:rPr>
            </w:pPr>
          </w:p>
        </w:tc>
      </w:tr>
    </w:tbl>
    <w:p>
      <w:pPr>
        <w:rPr>
          <w:rFonts w:hint="eastAsia" w:ascii="仿宋_GB2312" w:eastAsia="仿宋_GB2312"/>
          <w:sz w:val="24"/>
          <w:highlight w:val="none"/>
        </w:rPr>
      </w:pPr>
    </w:p>
    <w:p>
      <w:pPr>
        <w:jc w:val="left"/>
        <w:rPr>
          <w:rFonts w:ascii="宋体" w:hAnsi="宋体"/>
          <w:sz w:val="24"/>
          <w:szCs w:val="24"/>
          <w:highlight w:val="none"/>
        </w:rPr>
      </w:pPr>
    </w:p>
    <w:p>
      <w:pPr>
        <w:jc w:val="left"/>
        <w:rPr>
          <w:rFonts w:ascii="宋体" w:hAnsi="宋体"/>
          <w:sz w:val="24"/>
          <w:szCs w:val="24"/>
          <w:highlight w:val="none"/>
        </w:rPr>
      </w:pPr>
    </w:p>
    <w:p>
      <w:pPr>
        <w:jc w:val="left"/>
        <w:rPr>
          <w:rFonts w:hint="eastAsia" w:ascii="宋体" w:hAnsi="宋体"/>
          <w:sz w:val="24"/>
          <w:szCs w:val="24"/>
          <w:highlight w:val="none"/>
        </w:rPr>
      </w:pPr>
      <w:r>
        <w:rPr>
          <w:rFonts w:hint="eastAsia" w:ascii="宋体" w:hAnsi="宋体"/>
          <w:sz w:val="24"/>
          <w:szCs w:val="24"/>
          <w:highlight w:val="none"/>
        </w:rPr>
        <w:t>投标人名称（盖章）：</w:t>
      </w:r>
    </w:p>
    <w:p>
      <w:pPr>
        <w:spacing w:line="360" w:lineRule="auto"/>
        <w:rPr>
          <w:rFonts w:hint="eastAsia" w:ascii="宋体" w:hAnsi="宋体"/>
          <w:sz w:val="24"/>
          <w:szCs w:val="24"/>
          <w:highlight w:val="none"/>
        </w:rPr>
      </w:pPr>
      <w:r>
        <w:rPr>
          <w:rFonts w:hint="eastAsia" w:ascii="宋体" w:hAnsi="宋体"/>
          <w:sz w:val="24"/>
          <w:szCs w:val="24"/>
          <w:highlight w:val="none"/>
        </w:rPr>
        <w:t>投标人授权代表（签字）：</w:t>
      </w:r>
    </w:p>
    <w:p>
      <w:pPr>
        <w:spacing w:line="360" w:lineRule="auto"/>
        <w:ind w:firstLine="480" w:firstLineChars="200"/>
        <w:rPr>
          <w:sz w:val="24"/>
          <w:szCs w:val="24"/>
          <w:highlight w:val="none"/>
        </w:rPr>
      </w:pPr>
      <w:r>
        <w:rPr>
          <w:rFonts w:hint="eastAsia"/>
          <w:sz w:val="24"/>
          <w:szCs w:val="24"/>
          <w:highlight w:val="none"/>
        </w:rPr>
        <w:t>日期：</w:t>
      </w:r>
    </w:p>
    <w:p>
      <w:pPr>
        <w:spacing w:line="360" w:lineRule="auto"/>
        <w:jc w:val="center"/>
        <w:rPr>
          <w:rStyle w:val="30"/>
          <w:rFonts w:hint="eastAsia" w:ascii="宋体" w:hAnsi="宋体" w:cstheme="minorBidi"/>
          <w:b w:val="0"/>
          <w:highlight w:val="none"/>
        </w:rPr>
      </w:pPr>
      <w:r>
        <w:rPr>
          <w:rStyle w:val="30"/>
          <w:rFonts w:hint="eastAsia" w:ascii="宋体" w:hAnsi="宋体" w:cstheme="minorBidi"/>
          <w:b w:val="0"/>
          <w:highlight w:val="none"/>
        </w:rPr>
        <w:br w:type="page"/>
      </w:r>
    </w:p>
    <w:p>
      <w:pPr>
        <w:spacing w:line="360" w:lineRule="auto"/>
        <w:jc w:val="center"/>
        <w:rPr>
          <w:rStyle w:val="30"/>
          <w:rFonts w:hint="eastAsia" w:ascii="宋体" w:hAnsi="宋体" w:cstheme="minorBidi"/>
          <w:b w:val="0"/>
          <w:highlight w:val="none"/>
        </w:rPr>
      </w:pPr>
      <w:r>
        <w:rPr>
          <w:rStyle w:val="30"/>
          <w:rFonts w:hint="eastAsia" w:ascii="宋体" w:hAnsi="宋体" w:cstheme="minorBidi"/>
          <w:b w:val="0"/>
          <w:highlight w:val="none"/>
        </w:rPr>
        <w:t>三、法定代表人身份证明</w:t>
      </w:r>
      <w:bookmarkEnd w:id="28"/>
    </w:p>
    <w:p>
      <w:pPr>
        <w:spacing w:line="360" w:lineRule="auto"/>
        <w:ind w:firstLine="400" w:firstLineChars="200"/>
        <w:rPr>
          <w:rFonts w:hint="eastAsia" w:ascii="宋体" w:hAnsi="宋体" w:cs="宋体"/>
          <w:sz w:val="20"/>
          <w:highlight w:val="none"/>
        </w:rPr>
      </w:pP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30"/>
          <w:rFonts w:hint="eastAsia" w:ascii="宋体" w:hAnsi="宋体" w:cstheme="minorBidi"/>
          <w:b w:val="0"/>
          <w:highlight w:val="none"/>
        </w:rPr>
      </w:pPr>
      <w:r>
        <w:rPr>
          <w:rStyle w:val="30"/>
          <w:rFonts w:hint="eastAsia" w:ascii="宋体" w:hAnsi="宋体" w:cstheme="minorBidi"/>
          <w:b w:val="0"/>
          <w:highlight w:val="none"/>
        </w:rPr>
        <w:t>四、法定代表人授权书</w:t>
      </w:r>
    </w:p>
    <w:p>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hint="eastAsia" w:ascii="宋体" w:hAnsi="宋体"/>
          <w:szCs w:val="21"/>
          <w:highlight w:val="none"/>
        </w:rPr>
      </w:pPr>
      <w:r>
        <w:rPr>
          <w:rFonts w:hint="eastAsia" w:ascii="宋体" w:hAnsi="宋体"/>
          <w:szCs w:val="21"/>
          <w:highlight w:val="none"/>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hint="eastAsia" w:ascii="宋体" w:hAnsi="宋体"/>
          <w:szCs w:val="21"/>
          <w:highlight w:val="none"/>
        </w:rPr>
      </w:pPr>
    </w:p>
    <w:p>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hint="eastAsia" w:ascii="宋体" w:hAnsi="宋体"/>
          <w:szCs w:val="21"/>
          <w:highlight w:val="none"/>
        </w:rPr>
      </w:pPr>
    </w:p>
    <w:p>
      <w:pPr>
        <w:spacing w:line="530" w:lineRule="exact"/>
        <w:ind w:firstLine="210" w:firstLineChars="100"/>
        <w:rPr>
          <w:rFonts w:hint="eastAsia" w:ascii="宋体" w:hAnsi="宋体"/>
          <w:szCs w:val="21"/>
          <w:highlight w:val="none"/>
        </w:rPr>
      </w:pPr>
    </w:p>
    <w:p>
      <w:pPr>
        <w:spacing w:line="530" w:lineRule="exact"/>
        <w:rPr>
          <w:rFonts w:hint="eastAsia"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hint="eastAsia" w:ascii="宋体" w:hAnsi="宋体"/>
          <w:highlight w:val="none"/>
        </w:rPr>
      </w:pPr>
    </w:p>
    <w:p>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spacing w:line="360" w:lineRule="auto"/>
        <w:rPr>
          <w:rFonts w:hint="eastAsia"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五、投标人廉洁承诺书</w:t>
      </w:r>
    </w:p>
    <w:p>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hint="eastAsia" w:ascii="黑体" w:hAnsi="仿宋_GB2312" w:eastAsia="黑体"/>
          <w:b/>
          <w:bCs/>
          <w:color w:val="000000"/>
          <w:kern w:val="44"/>
          <w:sz w:val="32"/>
          <w:szCs w:val="32"/>
          <w:highlight w:val="none"/>
        </w:rPr>
      </w:pPr>
    </w:p>
    <w:p>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2"/>
        <w:rPr>
          <w:rFonts w:hint="eastAsia" w:cs="宋体"/>
          <w:sz w:val="32"/>
          <w:szCs w:val="32"/>
          <w:highlight w:val="none"/>
        </w:rPr>
      </w:pPr>
    </w:p>
    <w:p>
      <w:pPr>
        <w:pStyle w:val="32"/>
        <w:rPr>
          <w:rFonts w:hint="eastAsia" w:cs="宋体"/>
          <w:sz w:val="32"/>
          <w:szCs w:val="32"/>
          <w:highlight w:val="none"/>
        </w:rPr>
      </w:pPr>
    </w:p>
    <w:p>
      <w:pPr>
        <w:pStyle w:val="32"/>
        <w:ind w:firstLine="3404" w:firstLineChars="1064"/>
        <w:jc w:val="right"/>
        <w:rPr>
          <w:rFonts w:hint="eastAsia" w:cs="宋体"/>
          <w:sz w:val="32"/>
          <w:szCs w:val="32"/>
          <w:highlight w:val="none"/>
        </w:rPr>
      </w:pPr>
      <w:r>
        <w:rPr>
          <w:rFonts w:hint="eastAsia" w:cs="宋体"/>
          <w:sz w:val="32"/>
          <w:szCs w:val="32"/>
          <w:highlight w:val="none"/>
        </w:rPr>
        <w:t>单位负责人签字：</w:t>
      </w:r>
    </w:p>
    <w:p>
      <w:pPr>
        <w:pStyle w:val="32"/>
        <w:ind w:firstLine="6278" w:firstLineChars="1962"/>
        <w:jc w:val="right"/>
        <w:rPr>
          <w:rFonts w:hint="eastAsia" w:cs="宋体"/>
          <w:sz w:val="32"/>
          <w:szCs w:val="32"/>
          <w:highlight w:val="none"/>
        </w:rPr>
      </w:pPr>
      <w:r>
        <w:rPr>
          <w:rFonts w:hint="eastAsia" w:cs="宋体"/>
          <w:sz w:val="32"/>
          <w:szCs w:val="32"/>
          <w:highlight w:val="none"/>
        </w:rPr>
        <w:t>公司盖章：</w:t>
      </w:r>
    </w:p>
    <w:p>
      <w:pPr>
        <w:pStyle w:val="32"/>
        <w:ind w:firstLine="3404" w:firstLineChars="1064"/>
        <w:jc w:val="right"/>
        <w:rPr>
          <w:rFonts w:hint="eastAsia" w:cs="宋体"/>
          <w:sz w:val="32"/>
          <w:szCs w:val="32"/>
          <w:highlight w:val="none"/>
        </w:rPr>
      </w:pPr>
      <w:r>
        <w:rPr>
          <w:rFonts w:hint="eastAsia" w:cs="宋体"/>
          <w:sz w:val="32"/>
          <w:szCs w:val="32"/>
          <w:highlight w:val="none"/>
        </w:rPr>
        <w:t>日期：</w:t>
      </w:r>
    </w:p>
    <w:p>
      <w:pPr>
        <w:pStyle w:val="19"/>
        <w:jc w:val="right"/>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pPr>
        <w:pStyle w:val="31"/>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1"/>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pPr>
        <w:pStyle w:val="31"/>
        <w:spacing w:line="560" w:lineRule="exact"/>
        <w:rPr>
          <w:rFonts w:hint="eastAsia" w:ascii="宋体" w:hAnsi="宋体"/>
          <w:sz w:val="32"/>
          <w:szCs w:val="32"/>
          <w:highlight w:val="none"/>
        </w:rPr>
      </w:pPr>
      <w:r>
        <w:rPr>
          <w:rFonts w:hint="eastAsia" w:ascii="宋体" w:hAnsi="宋体"/>
          <w:sz w:val="32"/>
          <w:szCs w:val="32"/>
          <w:highlight w:val="none"/>
        </w:rPr>
        <w:t>2、开户许可证</w:t>
      </w:r>
    </w:p>
    <w:p>
      <w:pPr>
        <w:pStyle w:val="31"/>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p>
  <w:p>
    <w:pPr>
      <w:pStyle w:val="1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right" w:pos="8647"/>
        <w:tab w:val="clear" w:pos="8306"/>
      </w:tabs>
      <w:ind w:right="-764" w:rightChars="-36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647"/>
        <w:tab w:val="clear" w:pos="8306"/>
      </w:tabs>
      <w:ind w:firstLine="2340" w:firstLineChars="13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abstractNum w:abstractNumId="1">
    <w:nsid w:val="1CE7B233"/>
    <w:multiLevelType w:val="singleLevel"/>
    <w:tmpl w:val="1CE7B233"/>
    <w:lvl w:ilvl="0" w:tentative="0">
      <w:start w:val="1"/>
      <w:numFmt w:val="decimal"/>
      <w:lvlText w:val="%1."/>
      <w:lvlJc w:val="left"/>
      <w:pPr>
        <w:tabs>
          <w:tab w:val="left" w:pos="312"/>
        </w:tabs>
      </w:pPr>
    </w:lvl>
  </w:abstractNum>
  <w:abstractNum w:abstractNumId="2">
    <w:nsid w:val="28144663"/>
    <w:multiLevelType w:val="multilevel"/>
    <w:tmpl w:val="2814466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826970"/>
    <w:multiLevelType w:val="multilevel"/>
    <w:tmpl w:val="708269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54F235A"/>
    <w:multiLevelType w:val="multilevel"/>
    <w:tmpl w:val="754F235A"/>
    <w:lvl w:ilvl="0" w:tentative="0">
      <w:start w:val="1"/>
      <w:numFmt w:val="decimal"/>
      <w:lvlText w:val="%1."/>
      <w:lvlJc w:val="left"/>
      <w:pPr>
        <w:tabs>
          <w:tab w:val="left" w:pos="360"/>
        </w:tabs>
        <w:ind w:left="360" w:hanging="360"/>
      </w:pPr>
      <w:rPr>
        <w:rFonts w:ascii="Times New Roman" w:hAnsi="Times New Roman" w:eastAsia="仿宋"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WY2ZWNkOGUzZWM0MjZkMTBiZWYyZGYxOTlmZGEifQ=="/>
    <w:docVar w:name="KSO_WPS_MARK_KEY" w:val="f39ed3cd-3099-4feb-b933-17fd13a1104b"/>
  </w:docVars>
  <w:rsids>
    <w:rsidRoot w:val="3A2B41AB"/>
    <w:rsid w:val="002E4A08"/>
    <w:rsid w:val="00350C59"/>
    <w:rsid w:val="00562955"/>
    <w:rsid w:val="005E3C6F"/>
    <w:rsid w:val="0061569F"/>
    <w:rsid w:val="00671F52"/>
    <w:rsid w:val="0081032A"/>
    <w:rsid w:val="00841BC6"/>
    <w:rsid w:val="008E267B"/>
    <w:rsid w:val="009505C4"/>
    <w:rsid w:val="00A4600B"/>
    <w:rsid w:val="00B029FF"/>
    <w:rsid w:val="00C54206"/>
    <w:rsid w:val="00C905F2"/>
    <w:rsid w:val="00E05695"/>
    <w:rsid w:val="00E47D02"/>
    <w:rsid w:val="00EF45F1"/>
    <w:rsid w:val="00FC5A3E"/>
    <w:rsid w:val="020C4532"/>
    <w:rsid w:val="02D23086"/>
    <w:rsid w:val="043D1A83"/>
    <w:rsid w:val="051E40A7"/>
    <w:rsid w:val="05A607FA"/>
    <w:rsid w:val="05E6498A"/>
    <w:rsid w:val="06D73361"/>
    <w:rsid w:val="085D24E6"/>
    <w:rsid w:val="089E491D"/>
    <w:rsid w:val="09AB4631"/>
    <w:rsid w:val="0A5667B3"/>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5409F6"/>
    <w:rsid w:val="15A5287C"/>
    <w:rsid w:val="16585B40"/>
    <w:rsid w:val="168230D4"/>
    <w:rsid w:val="169A1CB5"/>
    <w:rsid w:val="179B5CE4"/>
    <w:rsid w:val="182A6AB6"/>
    <w:rsid w:val="183733F8"/>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10D17DC"/>
    <w:rsid w:val="22D777F4"/>
    <w:rsid w:val="23571659"/>
    <w:rsid w:val="23DC3BD6"/>
    <w:rsid w:val="24612064"/>
    <w:rsid w:val="25987D07"/>
    <w:rsid w:val="25CC175F"/>
    <w:rsid w:val="262F3F07"/>
    <w:rsid w:val="26BC306A"/>
    <w:rsid w:val="26FB054E"/>
    <w:rsid w:val="27000289"/>
    <w:rsid w:val="29F86FC6"/>
    <w:rsid w:val="2A642EB7"/>
    <w:rsid w:val="2A922F77"/>
    <w:rsid w:val="2AB6787F"/>
    <w:rsid w:val="2B2008F4"/>
    <w:rsid w:val="2B473D61"/>
    <w:rsid w:val="2B851377"/>
    <w:rsid w:val="2C043A01"/>
    <w:rsid w:val="2CD81465"/>
    <w:rsid w:val="2D235804"/>
    <w:rsid w:val="2E1C77D8"/>
    <w:rsid w:val="2E287309"/>
    <w:rsid w:val="2F3E2306"/>
    <w:rsid w:val="2FAA1ED5"/>
    <w:rsid w:val="2FCD4A51"/>
    <w:rsid w:val="2FCF2577"/>
    <w:rsid w:val="301B57BD"/>
    <w:rsid w:val="303B5E5F"/>
    <w:rsid w:val="30573A94"/>
    <w:rsid w:val="30AF2473"/>
    <w:rsid w:val="31AF3769"/>
    <w:rsid w:val="31D200FD"/>
    <w:rsid w:val="32221084"/>
    <w:rsid w:val="33101DC1"/>
    <w:rsid w:val="331E37FE"/>
    <w:rsid w:val="33C20973"/>
    <w:rsid w:val="33EA3E24"/>
    <w:rsid w:val="34885A0B"/>
    <w:rsid w:val="349268AC"/>
    <w:rsid w:val="357716E7"/>
    <w:rsid w:val="37164F30"/>
    <w:rsid w:val="37712166"/>
    <w:rsid w:val="38F74BD9"/>
    <w:rsid w:val="395B7212"/>
    <w:rsid w:val="3A2B41AB"/>
    <w:rsid w:val="3A414072"/>
    <w:rsid w:val="3A8C06B7"/>
    <w:rsid w:val="3B0D471D"/>
    <w:rsid w:val="3C052E4D"/>
    <w:rsid w:val="3F446ADE"/>
    <w:rsid w:val="3F63082C"/>
    <w:rsid w:val="40EC2DAE"/>
    <w:rsid w:val="410E3013"/>
    <w:rsid w:val="41447783"/>
    <w:rsid w:val="41D43885"/>
    <w:rsid w:val="41D852BC"/>
    <w:rsid w:val="423A703E"/>
    <w:rsid w:val="42AD499A"/>
    <w:rsid w:val="42CE4911"/>
    <w:rsid w:val="430C6035"/>
    <w:rsid w:val="43923B90"/>
    <w:rsid w:val="440737E0"/>
    <w:rsid w:val="446C7EC8"/>
    <w:rsid w:val="454113CA"/>
    <w:rsid w:val="4597723C"/>
    <w:rsid w:val="4605502F"/>
    <w:rsid w:val="46357180"/>
    <w:rsid w:val="4685455C"/>
    <w:rsid w:val="474A5ABA"/>
    <w:rsid w:val="476A1B83"/>
    <w:rsid w:val="47D209FF"/>
    <w:rsid w:val="47FD1C99"/>
    <w:rsid w:val="48CF0EC1"/>
    <w:rsid w:val="49AE21CE"/>
    <w:rsid w:val="4A8E5A4C"/>
    <w:rsid w:val="4AE73A21"/>
    <w:rsid w:val="4AEA195C"/>
    <w:rsid w:val="4B0610EB"/>
    <w:rsid w:val="4C03562B"/>
    <w:rsid w:val="4D8B2E35"/>
    <w:rsid w:val="4E3B72FE"/>
    <w:rsid w:val="4EAD5C60"/>
    <w:rsid w:val="4F4026F2"/>
    <w:rsid w:val="4F4331C8"/>
    <w:rsid w:val="4F936840"/>
    <w:rsid w:val="503C6221"/>
    <w:rsid w:val="50636741"/>
    <w:rsid w:val="50722D7F"/>
    <w:rsid w:val="51475FBA"/>
    <w:rsid w:val="52043552"/>
    <w:rsid w:val="525F2A86"/>
    <w:rsid w:val="52A91A6A"/>
    <w:rsid w:val="52CF2B6E"/>
    <w:rsid w:val="5302488E"/>
    <w:rsid w:val="54A0435F"/>
    <w:rsid w:val="54AD082A"/>
    <w:rsid w:val="54EB3100"/>
    <w:rsid w:val="550268E9"/>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B96B1E"/>
    <w:rsid w:val="5E603AD8"/>
    <w:rsid w:val="5E9B7945"/>
    <w:rsid w:val="5F0202B7"/>
    <w:rsid w:val="60044A53"/>
    <w:rsid w:val="60200971"/>
    <w:rsid w:val="60F9367B"/>
    <w:rsid w:val="619538F2"/>
    <w:rsid w:val="61D218D0"/>
    <w:rsid w:val="624F78B5"/>
    <w:rsid w:val="62724E61"/>
    <w:rsid w:val="62FC4073"/>
    <w:rsid w:val="63044341"/>
    <w:rsid w:val="631657EC"/>
    <w:rsid w:val="63D95197"/>
    <w:rsid w:val="64686F03"/>
    <w:rsid w:val="64A77044"/>
    <w:rsid w:val="64AA08E2"/>
    <w:rsid w:val="656C403D"/>
    <w:rsid w:val="65AD2209"/>
    <w:rsid w:val="65CA18A3"/>
    <w:rsid w:val="66134265"/>
    <w:rsid w:val="6954706E"/>
    <w:rsid w:val="6963262A"/>
    <w:rsid w:val="69DF102E"/>
    <w:rsid w:val="6A2971B4"/>
    <w:rsid w:val="6B030D4C"/>
    <w:rsid w:val="6B2B3DFF"/>
    <w:rsid w:val="6B6C069F"/>
    <w:rsid w:val="6B6D180A"/>
    <w:rsid w:val="6D0B32B6"/>
    <w:rsid w:val="6D0E5786"/>
    <w:rsid w:val="6D261454"/>
    <w:rsid w:val="6D415B5B"/>
    <w:rsid w:val="6E054DDB"/>
    <w:rsid w:val="6E5D0773"/>
    <w:rsid w:val="6F63625D"/>
    <w:rsid w:val="707324D0"/>
    <w:rsid w:val="70D25448"/>
    <w:rsid w:val="73216213"/>
    <w:rsid w:val="738B7B30"/>
    <w:rsid w:val="74520C5C"/>
    <w:rsid w:val="74DD616A"/>
    <w:rsid w:val="75ED062E"/>
    <w:rsid w:val="761A799C"/>
    <w:rsid w:val="76937428"/>
    <w:rsid w:val="769B2EDE"/>
    <w:rsid w:val="76DB2B7D"/>
    <w:rsid w:val="77DF7B5B"/>
    <w:rsid w:val="780B6E7A"/>
    <w:rsid w:val="780F4D45"/>
    <w:rsid w:val="78511348"/>
    <w:rsid w:val="78AF03ED"/>
    <w:rsid w:val="79220866"/>
    <w:rsid w:val="79B50C4D"/>
    <w:rsid w:val="79E76FDD"/>
    <w:rsid w:val="7A7415DC"/>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character" w:styleId="22">
    <w:name w:val="page number"/>
    <w:qFormat/>
    <w:uiPriority w:val="0"/>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Table Heading"/>
    <w:basedOn w:val="26"/>
    <w:qFormat/>
    <w:uiPriority w:val="0"/>
    <w:pPr>
      <w:autoSpaceDE/>
      <w:autoSpaceDN/>
      <w:spacing w:line="288" w:lineRule="auto"/>
      <w:jc w:val="center"/>
    </w:pPr>
    <w:rPr>
      <w:rFonts w:ascii="宋体" w:hAnsi="宋体"/>
      <w:b/>
    </w:rPr>
  </w:style>
  <w:style w:type="paragraph" w:customStyle="1" w:styleId="26">
    <w:name w:val="Table Text"/>
    <w:basedOn w:val="1"/>
    <w:qFormat/>
    <w:uiPriority w:val="0"/>
    <w:pPr>
      <w:widowControl/>
      <w:autoSpaceDE w:val="0"/>
      <w:autoSpaceDN w:val="0"/>
      <w:spacing w:before="60" w:after="60"/>
      <w:jc w:val="left"/>
    </w:pPr>
    <w:rPr>
      <w:kern w:val="0"/>
    </w:rPr>
  </w:style>
  <w:style w:type="paragraph" w:customStyle="1" w:styleId="27">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8">
    <w:name w:val="样式1"/>
    <w:basedOn w:val="1"/>
    <w:qFormat/>
    <w:uiPriority w:val="0"/>
    <w:pPr>
      <w:textAlignment w:val="baseline"/>
    </w:pPr>
    <w:rPr>
      <w:rFonts w:ascii="宋体" w:hAnsi="宋体"/>
      <w:szCs w:val="21"/>
    </w:rPr>
  </w:style>
  <w:style w:type="paragraph" w:customStyle="1" w:styleId="29">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0">
    <w:name w:val="标题 2 Char Char Char"/>
    <w:qFormat/>
    <w:uiPriority w:val="0"/>
    <w:rPr>
      <w:rFonts w:ascii="Arial" w:hAnsi="Arial" w:eastAsia="黑体"/>
      <w:b/>
      <w:bCs/>
      <w:kern w:val="2"/>
      <w:sz w:val="32"/>
      <w:szCs w:val="32"/>
      <w:lang w:val="en-US" w:eastAsia="zh-CN" w:bidi="ar-SA"/>
    </w:rPr>
  </w:style>
  <w:style w:type="paragraph" w:customStyle="1" w:styleId="31">
    <w:name w:val="无间隔1"/>
    <w:basedOn w:val="1"/>
    <w:qFormat/>
    <w:uiPriority w:val="1"/>
    <w:pPr>
      <w:spacing w:line="400" w:lineRule="exact"/>
    </w:pPr>
    <w:rPr>
      <w:sz w:val="24"/>
    </w:rPr>
  </w:style>
  <w:style w:type="paragraph" w:customStyle="1" w:styleId="32">
    <w:name w:val="样式 仿宋_GB2312 四号 行距: 1.5 倍行距"/>
    <w:basedOn w:val="1"/>
    <w:qFormat/>
    <w:uiPriority w:val="0"/>
    <w:pPr>
      <w:spacing w:line="360" w:lineRule="auto"/>
      <w:ind w:firstLine="560"/>
    </w:pPr>
    <w:rPr>
      <w:rFonts w:ascii="宋体" w:hAnsi="宋体"/>
      <w:color w:val="000000"/>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页眉 字符"/>
    <w:basedOn w:val="21"/>
    <w:link w:val="15"/>
    <w:qFormat/>
    <w:uiPriority w:val="0"/>
    <w:rPr>
      <w:kern w:val="2"/>
      <w:sz w:val="18"/>
      <w:szCs w:val="18"/>
    </w:rPr>
  </w:style>
  <w:style w:type="character" w:customStyle="1" w:styleId="36">
    <w:name w:val="font101"/>
    <w:basedOn w:val="21"/>
    <w:qFormat/>
    <w:uiPriority w:val="0"/>
    <w:rPr>
      <w:rFonts w:hint="eastAsia" w:ascii="宋体" w:hAnsi="宋体" w:eastAsia="宋体" w:cs="宋体"/>
      <w:b/>
      <w:color w:val="000000"/>
      <w:sz w:val="28"/>
      <w:szCs w:val="28"/>
      <w:u w:val="none"/>
    </w:rPr>
  </w:style>
  <w:style w:type="character" w:customStyle="1" w:styleId="37">
    <w:name w:val="font111"/>
    <w:basedOn w:val="21"/>
    <w:qFormat/>
    <w:uiPriority w:val="0"/>
    <w:rPr>
      <w:rFonts w:hint="eastAsia" w:ascii="宋体" w:hAnsi="宋体" w:eastAsia="宋体" w:cs="宋体"/>
      <w:b/>
      <w:color w:val="000000"/>
      <w:sz w:val="24"/>
      <w:szCs w:val="24"/>
      <w:u w:val="none"/>
    </w:rPr>
  </w:style>
  <w:style w:type="character" w:customStyle="1" w:styleId="38">
    <w:name w:val="font01"/>
    <w:basedOn w:val="21"/>
    <w:qFormat/>
    <w:uiPriority w:val="0"/>
    <w:rPr>
      <w:rFonts w:hint="default" w:ascii="Times New Roman" w:hAnsi="Times New Roman" w:cs="Times New Roman"/>
      <w:color w:val="000000"/>
      <w:sz w:val="20"/>
      <w:szCs w:val="20"/>
      <w:u w:val="none"/>
    </w:rPr>
  </w:style>
  <w:style w:type="character" w:customStyle="1" w:styleId="39">
    <w:name w:val="font71"/>
    <w:basedOn w:val="21"/>
    <w:qFormat/>
    <w:uiPriority w:val="0"/>
    <w:rPr>
      <w:rFonts w:hint="eastAsia" w:ascii="宋体" w:hAnsi="宋体" w:eastAsia="宋体" w:cs="宋体"/>
      <w:color w:val="000000"/>
      <w:sz w:val="20"/>
      <w:szCs w:val="20"/>
      <w:u w:val="none"/>
    </w:rPr>
  </w:style>
  <w:style w:type="character" w:customStyle="1" w:styleId="40">
    <w:name w:val="font91"/>
    <w:basedOn w:val="21"/>
    <w:qFormat/>
    <w:uiPriority w:val="0"/>
    <w:rPr>
      <w:rFonts w:hint="default" w:ascii="Times New Roman" w:hAnsi="Times New Roman" w:cs="Times New Roman"/>
      <w:color w:val="000000"/>
      <w:sz w:val="24"/>
      <w:szCs w:val="24"/>
      <w:u w:val="none"/>
    </w:rPr>
  </w:style>
  <w:style w:type="character" w:customStyle="1" w:styleId="41">
    <w:name w:val="font6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1075</Words>
  <Characters>6132</Characters>
  <Lines>51</Lines>
  <Paragraphs>14</Paragraphs>
  <TotalTime>0</TotalTime>
  <ScaleCrop>false</ScaleCrop>
  <LinksUpToDate>false</LinksUpToDate>
  <CharactersWithSpaces>7193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2024-08-26T08:37:57Z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70D6E2C6A64E460BA869D37726AB5D78</vt:lpwstr>
  </property>
</Properties>
</file>