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rPr>
          <w:color w:val="auto"/>
          <w:highlight w:val="none"/>
        </w:rPr>
      </w:pPr>
      <w:bookmarkStart w:id="0" w:name="_Toc67627991"/>
      <w:bookmarkStart w:id="95" w:name="_GoBack"/>
      <w:r>
        <w:rPr>
          <w:rFonts w:hint="eastAsia"/>
          <w:color w:val="auto"/>
          <w:highlight w:val="none"/>
        </w:rPr>
        <w:t xml:space="preserve"> </w:t>
      </w:r>
    </w:p>
    <w:p>
      <w:pPr>
        <w:jc w:val="center"/>
        <w:rPr>
          <w:rFonts w:ascii="黑体" w:hAnsi="宋体" w:eastAsia="黑体"/>
          <w:b/>
          <w:color w:val="auto"/>
          <w:sz w:val="56"/>
          <w:szCs w:val="56"/>
          <w:highlight w:val="none"/>
        </w:rPr>
      </w:pPr>
      <w:r>
        <w:rPr>
          <w:rFonts w:hint="eastAsia" w:ascii="黑体" w:hAnsi="宋体" w:eastAsia="黑体"/>
          <w:b/>
          <w:color w:val="auto"/>
          <w:sz w:val="56"/>
          <w:szCs w:val="56"/>
          <w:highlight w:val="none"/>
        </w:rPr>
        <w:t>江苏长江地质勘查院泥浆不落地破胶压滤一体车采购项目</w:t>
      </w:r>
    </w:p>
    <w:p>
      <w:pPr>
        <w:pStyle w:val="5"/>
        <w:jc w:val="center"/>
        <w:rPr>
          <w:color w:val="auto"/>
          <w:highlight w:val="none"/>
        </w:rPr>
      </w:pPr>
    </w:p>
    <w:p>
      <w:pPr>
        <w:jc w:val="center"/>
        <w:rPr>
          <w:color w:val="auto"/>
          <w:highlight w:val="none"/>
        </w:rPr>
      </w:pPr>
    </w:p>
    <w:p>
      <w:pPr>
        <w:jc w:val="center"/>
        <w:rPr>
          <w:rFonts w:ascii="黑体" w:hAnsi="宋体" w:eastAsia="黑体"/>
          <w:b/>
          <w:color w:val="auto"/>
          <w:sz w:val="56"/>
          <w:szCs w:val="56"/>
          <w:highlight w:val="none"/>
        </w:rPr>
      </w:pPr>
      <w:r>
        <w:rPr>
          <w:rFonts w:hint="eastAsia" w:ascii="黑体" w:hAnsi="宋体" w:eastAsia="黑体"/>
          <w:b/>
          <w:color w:val="auto"/>
          <w:sz w:val="56"/>
          <w:szCs w:val="56"/>
          <w:highlight w:val="none"/>
        </w:rPr>
        <w:t>公开</w:t>
      </w:r>
      <w:r>
        <w:rPr>
          <w:rFonts w:hint="eastAsia" w:ascii="黑体" w:hAnsi="宋体" w:eastAsia="黑体"/>
          <w:b/>
          <w:color w:val="auto"/>
          <w:sz w:val="56"/>
          <w:szCs w:val="56"/>
          <w:highlight w:val="none"/>
          <w:lang w:val="en-US" w:eastAsia="zh-CN"/>
        </w:rPr>
        <w:t>询比</w:t>
      </w:r>
      <w:r>
        <w:rPr>
          <w:rFonts w:hint="eastAsia" w:ascii="黑体" w:hAnsi="宋体" w:eastAsia="黑体"/>
          <w:b/>
          <w:color w:val="auto"/>
          <w:sz w:val="56"/>
          <w:szCs w:val="56"/>
          <w:highlight w:val="none"/>
        </w:rPr>
        <w:t>采购文件</w:t>
      </w:r>
    </w:p>
    <w:p>
      <w:pPr>
        <w:spacing w:line="560" w:lineRule="exact"/>
        <w:jc w:val="center"/>
        <w:rPr>
          <w:rFonts w:hint="default" w:ascii="仿宋_GB2312" w:hAnsi="宋体" w:eastAsia="仿宋_GB2312"/>
          <w:color w:val="auto"/>
          <w:sz w:val="32"/>
          <w:szCs w:val="32"/>
          <w:highlight w:val="none"/>
          <w:lang w:val="en-US" w:eastAsia="zh-CN"/>
        </w:rPr>
      </w:pPr>
      <w:r>
        <w:rPr>
          <w:rFonts w:hint="eastAsia" w:ascii="宋体" w:hAnsi="宋体"/>
          <w:b/>
          <w:color w:val="auto"/>
          <w:sz w:val="44"/>
          <w:szCs w:val="44"/>
          <w:highlight w:val="none"/>
        </w:rPr>
        <w:t>采购编号：</w:t>
      </w:r>
      <w:r>
        <w:rPr>
          <w:rFonts w:hint="eastAsia" w:ascii="仿宋_GB2312" w:hAnsi="宋体" w:eastAsia="仿宋_GB2312"/>
          <w:color w:val="auto"/>
          <w:sz w:val="32"/>
          <w:szCs w:val="32"/>
          <w:highlight w:val="none"/>
        </w:rPr>
        <w:t>ZMCJ03CG20240</w:t>
      </w:r>
      <w:r>
        <w:rPr>
          <w:rFonts w:hint="eastAsia" w:ascii="仿宋_GB2312" w:hAnsi="宋体" w:eastAsia="仿宋_GB2312"/>
          <w:color w:val="auto"/>
          <w:sz w:val="32"/>
          <w:szCs w:val="32"/>
          <w:highlight w:val="none"/>
          <w:lang w:val="en-US" w:eastAsia="zh-CN"/>
        </w:rPr>
        <w:t>115</w:t>
      </w:r>
    </w:p>
    <w:p>
      <w:pPr>
        <w:rPr>
          <w:color w:val="auto"/>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center"/>
        <w:rPr>
          <w:rFonts w:ascii="黑体" w:hAnsi="黑体" w:eastAsia="黑体"/>
          <w:color w:val="auto"/>
          <w:sz w:val="44"/>
          <w:szCs w:val="40"/>
          <w:highlight w:val="none"/>
        </w:rPr>
      </w:pPr>
    </w:p>
    <w:p>
      <w:pPr>
        <w:jc w:val="both"/>
        <w:rPr>
          <w:rFonts w:ascii="黑体" w:hAnsi="黑体" w:eastAsia="黑体"/>
          <w:color w:val="auto"/>
          <w:sz w:val="44"/>
          <w:szCs w:val="40"/>
          <w:highlight w:val="none"/>
        </w:rPr>
      </w:pPr>
    </w:p>
    <w:p>
      <w:pPr>
        <w:pStyle w:val="3"/>
        <w:ind w:firstLine="643" w:firstLineChars="200"/>
        <w:jc w:val="center"/>
        <w:rPr>
          <w:rFonts w:ascii="黑体" w:hAnsi="黑体" w:eastAsia="黑体" w:cs="黑体"/>
          <w:b/>
          <w:color w:val="auto"/>
          <w:sz w:val="32"/>
          <w:highlight w:val="none"/>
        </w:rPr>
      </w:pPr>
      <w:r>
        <w:rPr>
          <w:rFonts w:hint="eastAsia" w:ascii="黑体" w:hAnsi="黑体" w:eastAsia="黑体" w:cs="黑体"/>
          <w:b/>
          <w:color w:val="auto"/>
          <w:sz w:val="32"/>
          <w:highlight w:val="none"/>
        </w:rPr>
        <w:t>采购人：江苏长江地质勘查院</w:t>
      </w:r>
    </w:p>
    <w:p>
      <w:pPr>
        <w:jc w:val="center"/>
        <w:rPr>
          <w:color w:val="auto"/>
          <w:highlight w:val="none"/>
        </w:rPr>
      </w:pPr>
      <w:r>
        <w:rPr>
          <w:rFonts w:hint="eastAsia" w:ascii="黑体" w:hAnsi="黑体" w:eastAsia="黑体" w:cs="黑体"/>
          <w:b/>
          <w:color w:val="auto"/>
          <w:sz w:val="32"/>
          <w:highlight w:val="none"/>
        </w:rPr>
        <w:t>二〇二四年</w:t>
      </w:r>
      <w:r>
        <w:rPr>
          <w:rFonts w:hint="eastAsia" w:ascii="黑体" w:hAnsi="黑体" w:eastAsia="黑体" w:cs="黑体"/>
          <w:b/>
          <w:color w:val="auto"/>
          <w:sz w:val="32"/>
          <w:highlight w:val="none"/>
          <w:lang w:val="en-US" w:eastAsia="zh-CN"/>
        </w:rPr>
        <w:t>九</w:t>
      </w:r>
      <w:r>
        <w:rPr>
          <w:rFonts w:hint="eastAsia" w:ascii="黑体" w:hAnsi="黑体" w:eastAsia="黑体" w:cs="黑体"/>
          <w:b/>
          <w:color w:val="auto"/>
          <w:sz w:val="32"/>
          <w:highlight w:val="none"/>
        </w:rPr>
        <w:t>月</w:t>
      </w:r>
    </w:p>
    <w:bookmarkEnd w:id="0"/>
    <w:p>
      <w:pPr>
        <w:pStyle w:val="20"/>
        <w:rPr>
          <w:rFonts w:ascii="方正小标宋简体" w:hAnsi="仿宋_GB2312" w:eastAsia="方正小标宋简体" w:cs="Arial"/>
          <w:b w:val="0"/>
          <w:snapToGrid w:val="0"/>
          <w:color w:val="auto"/>
          <w:kern w:val="44"/>
          <w:sz w:val="44"/>
          <w:szCs w:val="44"/>
          <w:highlight w:val="none"/>
        </w:rPr>
      </w:pPr>
      <w:r>
        <w:rPr>
          <w:rFonts w:hint="eastAsia" w:ascii="方正小标宋简体" w:hAnsi="仿宋_GB2312" w:eastAsia="方正小标宋简体" w:cs="Arial"/>
          <w:b w:val="0"/>
          <w:snapToGrid w:val="0"/>
          <w:color w:val="auto"/>
          <w:kern w:val="44"/>
          <w:sz w:val="44"/>
          <w:szCs w:val="44"/>
          <w:highlight w:val="none"/>
        </w:rPr>
        <w:t>第一章  采购公告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江苏长江地质勘查院泥浆不落地破胶压滤一体车采购项目已具备采购条件，采购人为江苏长江地质勘查院，采取公开</w:t>
      </w:r>
      <w:r>
        <w:rPr>
          <w:rFonts w:hint="eastAsia" w:ascii="仿宋_GB2312" w:hAnsi="宋体" w:eastAsia="仿宋_GB2312"/>
          <w:color w:val="auto"/>
          <w:sz w:val="32"/>
          <w:szCs w:val="32"/>
          <w:highlight w:val="none"/>
          <w:lang w:val="en-US" w:eastAsia="zh-CN"/>
        </w:rPr>
        <w:t>询比</w:t>
      </w:r>
      <w:r>
        <w:rPr>
          <w:rFonts w:hint="eastAsia" w:ascii="仿宋_GB2312" w:hAnsi="宋体" w:eastAsia="仿宋_GB2312"/>
          <w:color w:val="auto"/>
          <w:sz w:val="32"/>
          <w:szCs w:val="32"/>
          <w:highlight w:val="none"/>
        </w:rPr>
        <w:t>，现就有关事项说明如下：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一、采购概况</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1.项目名称：</w:t>
      </w:r>
      <w:r>
        <w:rPr>
          <w:rFonts w:hint="eastAsia" w:ascii="仿宋_GB2312" w:hAnsi="宋体" w:eastAsia="仿宋_GB2312" w:cs="Times New Roman"/>
          <w:color w:val="auto"/>
          <w:kern w:val="2"/>
          <w:sz w:val="32"/>
          <w:szCs w:val="32"/>
          <w:highlight w:val="none"/>
        </w:rPr>
        <w:t>江苏长江地质勘查院泥浆不落地破胶压滤一体车采购项目</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2.项目地点：江苏省常州市金坛区施工现场。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3.交货期：合同签订后30天内。</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4.质保期：质保期为从产品到达交货地点，验收合格之日起的1年。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5.技术要求：按国家标准执行，详见第五章技术要求。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rPr>
        <w:t>6.采购编号：ZMCJ03CG20240</w:t>
      </w:r>
      <w:r>
        <w:rPr>
          <w:rFonts w:hint="eastAsia" w:ascii="仿宋_GB2312" w:hAnsi="宋体" w:eastAsia="仿宋_GB2312"/>
          <w:color w:val="auto"/>
          <w:sz w:val="32"/>
          <w:szCs w:val="32"/>
          <w:highlight w:val="none"/>
          <w:lang w:val="en-US" w:eastAsia="zh-CN"/>
        </w:rPr>
        <w:t>115</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Hans"/>
        </w:rPr>
        <w:t>资金来源：</w:t>
      </w:r>
      <w:r>
        <w:rPr>
          <w:rFonts w:hint="eastAsia" w:ascii="仿宋_GB2312" w:hAnsi="仿宋_GB2312" w:eastAsia="仿宋_GB2312" w:cs="仿宋_GB2312"/>
          <w:color w:val="auto"/>
          <w:sz w:val="32"/>
          <w:szCs w:val="32"/>
          <w:highlight w:val="none"/>
        </w:rPr>
        <w:t>自有资金。</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Hans"/>
        </w:rPr>
        <w:t>.中标通知方式：书面通知中标人。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Hans"/>
        </w:rPr>
        <w:t xml:space="preserve"> 评标办法</w:t>
      </w:r>
      <w:r>
        <w:rPr>
          <w:rFonts w:hint="eastAsia" w:ascii="仿宋_GB2312" w:hAnsi="仿宋_GB2312" w:eastAsia="仿宋_GB2312" w:cs="仿宋_GB2312"/>
          <w:color w:val="auto"/>
          <w:sz w:val="32"/>
          <w:szCs w:val="32"/>
          <w:highlight w:val="none"/>
        </w:rPr>
        <w:t>：综合评分法。</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lang w:eastAsia="zh-Hans"/>
        </w:rPr>
      </w:pPr>
      <w:r>
        <w:rPr>
          <w:rFonts w:hint="eastAsia" w:ascii="仿宋_GB2312" w:hAnsi="宋体" w:eastAsia="仿宋_GB2312"/>
          <w:color w:val="auto"/>
          <w:kern w:val="2"/>
          <w:sz w:val="32"/>
          <w:szCs w:val="32"/>
          <w:highlight w:val="none"/>
        </w:rPr>
        <w:t>10.其他要求详见</w:t>
      </w:r>
      <w:r>
        <w:rPr>
          <w:rFonts w:hint="eastAsia" w:ascii="仿宋_GB2312" w:hAnsi="宋体" w:eastAsia="仿宋_GB2312"/>
          <w:color w:val="auto"/>
          <w:kern w:val="2"/>
          <w:sz w:val="32"/>
          <w:szCs w:val="32"/>
          <w:highlight w:val="none"/>
          <w:lang w:val="en-US" w:eastAsia="zh-CN"/>
        </w:rPr>
        <w:t>询比</w:t>
      </w:r>
      <w:r>
        <w:rPr>
          <w:rFonts w:hint="eastAsia" w:ascii="仿宋_GB2312" w:hAnsi="宋体" w:eastAsia="仿宋_GB2312"/>
          <w:color w:val="auto"/>
          <w:kern w:val="2"/>
          <w:sz w:val="32"/>
          <w:szCs w:val="32"/>
          <w:highlight w:val="none"/>
        </w:rPr>
        <w:t>文件。</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olor w:val="auto"/>
          <w:kern w:val="2"/>
          <w:sz w:val="32"/>
          <w:szCs w:val="32"/>
          <w:highlight w:val="none"/>
        </w:rPr>
      </w:pPr>
      <w:r>
        <w:rPr>
          <w:rFonts w:hint="eastAsia" w:ascii="黑体" w:hAnsi="黑体" w:eastAsia="黑体"/>
          <w:color w:val="auto"/>
          <w:kern w:val="2"/>
          <w:sz w:val="32"/>
          <w:szCs w:val="32"/>
          <w:highlight w:val="none"/>
        </w:rPr>
        <w:t>二、合格投标人的基本资质要求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1.营业范围:投标人应为在中华人民共和国境内注册的独立法人，具有独立承担民事责任能力，须提供具有合法、有效的“三证合一”的营业执照，营业执照有相关经营范围。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2.财务要求：投标人有依法纳税的良好记录，财务、资信状况良好，满足履行本项目的需要。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3.业绩要求：2021年01月01日至投标截止时间提供所投产品相近（油田钻井、地质勘探钻井或工况相近的车载压滤机）销售业绩的合同。</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4.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3"/>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宋体" w:eastAsia="仿宋_GB2312"/>
          <w:color w:val="auto"/>
          <w:sz w:val="32"/>
          <w:szCs w:val="32"/>
          <w:highlight w:val="none"/>
        </w:rPr>
        <w:t>5.</w:t>
      </w:r>
      <w:r>
        <w:rPr>
          <w:rFonts w:hint="eastAsia" w:ascii="仿宋_GB2312" w:hAnsi="仿宋_GB2312" w:eastAsia="仿宋_GB2312" w:cs="仿宋_GB2312"/>
          <w:color w:val="auto"/>
          <w:sz w:val="32"/>
          <w:szCs w:val="32"/>
          <w:highlight w:val="none"/>
        </w:rPr>
        <w:t>投标人不得与采购人存在利益关系，包括但不限于采购人领导和关键岗位人员持有投标人股权、在投标人中任职、存在亲属关系等。</w:t>
      </w:r>
    </w:p>
    <w:p>
      <w:pPr>
        <w:pStyle w:val="13"/>
        <w:keepNext w:val="0"/>
        <w:keepLines w:val="0"/>
        <w:pageBreakBefore w:val="0"/>
        <w:kinsoku/>
        <w:wordWrap/>
        <w:overflowPunct/>
        <w:topLinePunct w:val="0"/>
        <w:autoSpaceDE/>
        <w:autoSpaceDN/>
        <w:bidi w:val="0"/>
        <w:adjustRightInd/>
        <w:snapToGrid/>
        <w:spacing w:after="0" w:line="560" w:lineRule="exact"/>
        <w:ind w:left="0" w:firstLine="640" w:firstLineChars="200"/>
        <w:jc w:val="both"/>
        <w:textAlignment w:val="auto"/>
        <w:rPr>
          <w:rFonts w:ascii="仿宋_GB2312" w:hAnsi="宋体" w:eastAsia="仿宋_GB2312"/>
          <w:color w:val="auto"/>
          <w:sz w:val="32"/>
          <w:szCs w:val="32"/>
          <w:highlight w:val="none"/>
        </w:rPr>
      </w:pPr>
      <w:r>
        <w:rPr>
          <w:rFonts w:hint="eastAsia" w:ascii="仿宋_GB2312" w:hAnsi="仿宋_GB2312" w:eastAsia="仿宋_GB2312" w:cs="仿宋_GB2312"/>
          <w:color w:val="auto"/>
          <w:sz w:val="32"/>
          <w:szCs w:val="32"/>
          <w:highlight w:val="none"/>
        </w:rPr>
        <w:t>6.具有投资参股关系的关联企业，或具有直接管理或被管理关系的母子公司， 或同一母公司的子公司，或法定代表人为同一人的两个及两个以上法人不得同时参与投标。</w:t>
      </w:r>
    </w:p>
    <w:p>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宋体" w:eastAsia="仿宋_GB2312"/>
          <w:color w:val="auto"/>
          <w:kern w:val="2"/>
          <w:sz w:val="32"/>
          <w:szCs w:val="32"/>
          <w:highlight w:val="none"/>
        </w:rPr>
        <w:t>7. 本次采购不接受联合体投标。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三、主要日程安排</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询比</w:t>
      </w:r>
      <w:r>
        <w:rPr>
          <w:rFonts w:hint="eastAsia" w:ascii="仿宋_GB2312" w:hAnsi="宋体" w:eastAsia="仿宋_GB2312"/>
          <w:color w:val="auto"/>
          <w:sz w:val="32"/>
          <w:szCs w:val="32"/>
          <w:highlight w:val="none"/>
        </w:rPr>
        <w:t>公告、</w:t>
      </w:r>
      <w:r>
        <w:rPr>
          <w:rFonts w:hint="eastAsia" w:ascii="仿宋_GB2312" w:hAnsi="宋体" w:eastAsia="仿宋_GB2312"/>
          <w:color w:val="auto"/>
          <w:sz w:val="32"/>
          <w:szCs w:val="32"/>
          <w:highlight w:val="none"/>
          <w:lang w:val="en-US" w:eastAsia="zh-CN"/>
        </w:rPr>
        <w:t>询比</w:t>
      </w:r>
      <w:r>
        <w:rPr>
          <w:rFonts w:hint="eastAsia" w:ascii="仿宋_GB2312" w:hAnsi="宋体" w:eastAsia="仿宋_GB2312"/>
          <w:color w:val="auto"/>
          <w:sz w:val="32"/>
          <w:szCs w:val="32"/>
          <w:highlight w:val="none"/>
        </w:rPr>
        <w:t>文件及有关补遗和答疑文件相关事项在</w:t>
      </w:r>
      <w:r>
        <w:rPr>
          <w:rFonts w:hint="eastAsia" w:ascii="仿宋_GB2312" w:hAnsi="宋体" w:eastAsia="仿宋_GB2312"/>
          <w:color w:val="auto"/>
          <w:sz w:val="32"/>
          <w:szCs w:val="32"/>
          <w:highlight w:val="none"/>
          <w:lang w:val="en-US" w:eastAsia="zh-CN"/>
        </w:rPr>
        <w:t>江苏长江地质勘查院</w:t>
      </w:r>
      <w:r>
        <w:rPr>
          <w:rFonts w:hint="eastAsia" w:ascii="仿宋_GB2312" w:hAnsi="宋体" w:eastAsia="仿宋_GB2312"/>
          <w:color w:val="auto"/>
          <w:sz w:val="32"/>
          <w:szCs w:val="32"/>
          <w:highlight w:val="none"/>
        </w:rPr>
        <w:t>网站</w:t>
      </w:r>
      <w:r>
        <w:rPr>
          <w:rFonts w:hint="eastAsia" w:ascii="仿宋_GB2312" w:hAnsi="宋体" w:eastAsia="仿宋_GB2312" w:cs="Times New Roman"/>
          <w:color w:val="auto"/>
          <w:sz w:val="32"/>
          <w:szCs w:val="32"/>
          <w:highlight w:val="none"/>
          <w:lang w:val="en-US" w:eastAsia="zh-CN"/>
        </w:rPr>
        <w:t>（HTTP://www.smdksd.com/）发布</w:t>
      </w:r>
      <w:r>
        <w:rPr>
          <w:rFonts w:hint="eastAsia" w:ascii="仿宋_GB2312" w:hAnsi="宋体" w:eastAsia="仿宋_GB2312"/>
          <w:color w:val="auto"/>
          <w:sz w:val="32"/>
          <w:szCs w:val="32"/>
          <w:highlight w:val="none"/>
        </w:rPr>
        <w:t>。</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1.凡有意参加投标者，请于2024年</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20</w:t>
      </w:r>
      <w:r>
        <w:rPr>
          <w:rFonts w:hint="eastAsia" w:ascii="仿宋_GB2312" w:hAnsi="宋体" w:eastAsia="仿宋_GB2312"/>
          <w:color w:val="auto"/>
          <w:sz w:val="32"/>
          <w:szCs w:val="32"/>
          <w:highlight w:val="none"/>
        </w:rPr>
        <w:t>日下午</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：00前，将投标材料邮寄或者人工送达的方式，送至南京市栖霞区尧新大道5号515室刘晓梅收，联系电话025-85666601。</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2.开标：2024年</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lang w:val="en-US" w:eastAsia="zh-CN"/>
        </w:rPr>
        <w:t>20</w:t>
      </w:r>
      <w:r>
        <w:rPr>
          <w:rFonts w:hint="eastAsia" w:ascii="仿宋_GB2312" w:hAnsi="宋体" w:eastAsia="仿宋_GB2312"/>
          <w:color w:val="auto"/>
          <w:sz w:val="32"/>
          <w:szCs w:val="32"/>
          <w:highlight w:val="none"/>
        </w:rPr>
        <w:t>日</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:00 时(北京时间)在中煤长江地质集团5楼会议室开标会议室开标。</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递交地点：南京市栖霞区尧新大道5号。</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b/>
          <w:color w:val="auto"/>
          <w:sz w:val="32"/>
          <w:szCs w:val="32"/>
          <w:highlight w:val="none"/>
        </w:rPr>
      </w:pPr>
      <w:r>
        <w:rPr>
          <w:rFonts w:hint="eastAsia" w:ascii="仿宋_GB2312" w:hAnsi="宋体" w:eastAsia="仿宋_GB2312"/>
          <w:color w:val="auto"/>
          <w:sz w:val="32"/>
          <w:szCs w:val="32"/>
          <w:highlight w:val="none"/>
        </w:rPr>
        <w:t>上述安排如有变化，采购人将视情况在</w:t>
      </w:r>
      <w:r>
        <w:rPr>
          <w:rFonts w:hint="eastAsia" w:ascii="仿宋_GB2312" w:hAnsi="宋体" w:eastAsia="仿宋_GB2312"/>
          <w:color w:val="auto"/>
          <w:sz w:val="32"/>
          <w:szCs w:val="32"/>
          <w:highlight w:val="none"/>
          <w:lang w:val="en-US" w:eastAsia="zh-CN"/>
        </w:rPr>
        <w:t>采购人</w:t>
      </w:r>
      <w:r>
        <w:rPr>
          <w:rFonts w:hint="eastAsia" w:ascii="仿宋_GB2312" w:hAnsi="宋体" w:eastAsia="仿宋_GB2312"/>
          <w:color w:val="auto"/>
          <w:sz w:val="32"/>
          <w:szCs w:val="32"/>
          <w:highlight w:val="none"/>
        </w:rPr>
        <w:t>官网发布通知。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四、采购人及联系方式</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snapToGrid w:val="0"/>
          <w:color w:val="auto"/>
          <w:sz w:val="32"/>
          <w:szCs w:val="32"/>
          <w:highlight w:val="none"/>
        </w:rPr>
      </w:pPr>
      <w:r>
        <w:rPr>
          <w:rFonts w:hint="eastAsia" w:ascii="仿宋_GB2312" w:hAnsi="宋体" w:eastAsia="仿宋_GB2312"/>
          <w:color w:val="auto"/>
          <w:sz w:val="32"/>
          <w:szCs w:val="32"/>
          <w:highlight w:val="none"/>
        </w:rPr>
        <w:t>采购人：</w:t>
      </w:r>
      <w:r>
        <w:rPr>
          <w:rFonts w:hint="eastAsia" w:ascii="仿宋_GB2312" w:hAnsi="宋体" w:eastAsia="仿宋_GB2312"/>
          <w:snapToGrid w:val="0"/>
          <w:color w:val="auto"/>
          <w:sz w:val="32"/>
          <w:szCs w:val="32"/>
          <w:highlight w:val="none"/>
        </w:rPr>
        <w:t>江苏长江地质勘查院</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地址：南京市栖霞区尧新大道5号。</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联系人：刘晓梅                电话：13605140196</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 w:val="32"/>
          <w:szCs w:val="32"/>
          <w:highlight w:val="none"/>
        </w:rPr>
      </w:pPr>
      <w:r>
        <w:rPr>
          <w:rFonts w:hint="eastAsia" w:ascii="仿宋_GB2312" w:hAnsi="宋体" w:eastAsia="仿宋_GB2312"/>
          <w:color w:val="auto"/>
          <w:sz w:val="32"/>
          <w:szCs w:val="32"/>
          <w:highlight w:val="none"/>
        </w:rPr>
        <w:t>项目联系人：宋延超            电话：18694968858</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五、采购监督部门</w:t>
      </w:r>
    </w:p>
    <w:p>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纪律检查部 电话：025-85666522</w:t>
      </w:r>
    </w:p>
    <w:p>
      <w:pPr>
        <w:pStyle w:val="4"/>
        <w:spacing w:line="560" w:lineRule="exact"/>
        <w:ind w:firstLine="420" w:firstLineChars="200"/>
        <w:rPr>
          <w:color w:val="auto"/>
          <w:highlight w:val="none"/>
        </w:rPr>
      </w:pPr>
    </w:p>
    <w:p>
      <w:pPr>
        <w:ind w:firstLine="640" w:firstLineChars="200"/>
        <w:jc w:val="both"/>
        <w:rPr>
          <w:rFonts w:ascii="仿宋_GB2312" w:hAnsi="宋体" w:eastAsia="仿宋_GB2312"/>
          <w:color w:val="auto"/>
          <w:sz w:val="32"/>
          <w:szCs w:val="32"/>
          <w:highlight w:val="none"/>
        </w:rPr>
      </w:pPr>
    </w:p>
    <w:p>
      <w:pPr>
        <w:pStyle w:val="19"/>
        <w:rPr>
          <w:color w:val="auto"/>
          <w:highlight w:val="none"/>
        </w:rPr>
      </w:pPr>
      <w:r>
        <w:rPr>
          <w:rFonts w:hint="eastAsia"/>
          <w:color w:val="auto"/>
          <w:highlight w:val="none"/>
        </w:rPr>
        <w:t>　　　　　　</w:t>
      </w:r>
    </w:p>
    <w:p>
      <w:pPr>
        <w:rPr>
          <w:color w:val="auto"/>
          <w:highlight w:val="none"/>
        </w:rPr>
      </w:pPr>
      <w:r>
        <w:rPr>
          <w:rFonts w:hint="eastAsia"/>
          <w:color w:val="auto"/>
          <w:highlight w:val="none"/>
        </w:rPr>
        <w:br w:type="page"/>
      </w:r>
    </w:p>
    <w:p>
      <w:pPr>
        <w:pStyle w:val="5"/>
        <w:spacing w:before="0" w:after="0" w:line="660" w:lineRule="exact"/>
        <w:jc w:val="center"/>
        <w:rPr>
          <w:rFonts w:ascii="方正小标宋简体" w:hAnsi="仿宋_GB2312" w:eastAsia="方正小标宋简体"/>
          <w:b w:val="0"/>
          <w:bCs/>
          <w:color w:val="auto"/>
          <w:szCs w:val="44"/>
          <w:highlight w:val="none"/>
        </w:rPr>
      </w:pPr>
      <w:bookmarkStart w:id="1" w:name="_Toc2851"/>
      <w:r>
        <w:rPr>
          <w:rFonts w:hint="eastAsia" w:ascii="方正小标宋简体" w:hAnsi="仿宋_GB2312" w:eastAsia="方正小标宋简体"/>
          <w:b w:val="0"/>
          <w:bCs/>
          <w:color w:val="auto"/>
          <w:szCs w:val="44"/>
          <w:highlight w:val="none"/>
        </w:rPr>
        <w:t>第二章 投标人须知</w:t>
      </w:r>
      <w:bookmarkEnd w:id="1"/>
      <w:bookmarkStart w:id="2" w:name="_Toc6644"/>
    </w:p>
    <w:bookmarkEnd w:id="2"/>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黑体" w:hAnsi="黑体" w:eastAsia="黑体" w:cs="黑体"/>
          <w:color w:val="auto"/>
          <w:sz w:val="32"/>
          <w:szCs w:val="32"/>
          <w:highlight w:val="none"/>
        </w:rPr>
        <w:t>一、投标文件要求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1、投标文件封面须加盖投标人印章。</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2、投标函须由法定代表人（单位负责人）或委托代理人签字或加盖单位公章。</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4、投标人应按照采购文件要求编制投标文件，投标文件一式</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份：</w:t>
      </w:r>
      <w:r>
        <w:rPr>
          <w:rFonts w:hint="eastAsia" w:ascii="仿宋_GB2312" w:hAnsi="宋体" w:eastAsia="仿宋_GB2312"/>
          <w:color w:val="auto"/>
          <w:sz w:val="32"/>
          <w:szCs w:val="32"/>
          <w:highlight w:val="none"/>
        </w:rPr>
        <w:t>其中正本1份、副本</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份</w:t>
      </w:r>
      <w:r>
        <w:rPr>
          <w:rFonts w:hint="eastAsia" w:ascii="仿宋_GB2312" w:hAnsi="宋体" w:eastAsia="仿宋_GB2312"/>
          <w:color w:val="auto"/>
          <w:sz w:val="32"/>
          <w:szCs w:val="32"/>
          <w:highlight w:val="none"/>
          <w:lang w:eastAsia="zh-CN"/>
        </w:rPr>
        <w:t>，含有电子文档的U盘1 份</w:t>
      </w:r>
      <w:r>
        <w:rPr>
          <w:rFonts w:hint="eastAsia" w:ascii="仿宋_GB2312" w:hAnsi="宋体" w:eastAsia="仿宋_GB2312"/>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5、投标文件为 A4 大小，采用胶装方式装订；正副本封面均按采购文件要求以黑体字标明工程名称和正、副本字样，并在密封处加盖骑缝章。</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二、报价说明：</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1、投标人的投标报价应是采购文件所确定的采购范围内全部内容的价格体现，报价方式采用固定单价，最高投标</w:t>
      </w:r>
      <w:r>
        <w:rPr>
          <w:rFonts w:hint="eastAsia" w:ascii="仿宋_GB2312" w:hAnsi="宋体" w:eastAsia="仿宋_GB2312"/>
          <w:color w:val="auto"/>
          <w:sz w:val="32"/>
          <w:szCs w:val="32"/>
          <w:highlight w:val="none"/>
        </w:rPr>
        <w:t>限价为</w:t>
      </w:r>
      <w:r>
        <w:rPr>
          <w:rFonts w:hint="eastAsia" w:ascii="仿宋_GB2312" w:hAnsi="宋体" w:eastAsia="仿宋_GB2312"/>
          <w:color w:val="auto"/>
          <w:sz w:val="32"/>
          <w:szCs w:val="32"/>
          <w:highlight w:val="none"/>
          <w:lang w:val="en-US" w:eastAsia="zh-CN"/>
        </w:rPr>
        <w:t>96</w:t>
      </w:r>
      <w:r>
        <w:rPr>
          <w:rFonts w:hint="eastAsia" w:ascii="仿宋_GB2312" w:hAnsi="宋体" w:eastAsia="仿宋_GB2312"/>
          <w:snapToGrid w:val="0"/>
          <w:color w:val="auto"/>
          <w:sz w:val="32"/>
          <w:szCs w:val="32"/>
          <w:highlight w:val="none"/>
        </w:rPr>
        <w:t>万</w:t>
      </w:r>
      <w:r>
        <w:rPr>
          <w:rFonts w:hint="eastAsia" w:ascii="仿宋_GB2312" w:hAnsi="宋体" w:eastAsia="仿宋_GB2312"/>
          <w:color w:val="auto"/>
          <w:sz w:val="32"/>
          <w:szCs w:val="32"/>
          <w:highlight w:val="none"/>
        </w:rPr>
        <w:t>元，一旦</w:t>
      </w:r>
      <w:r>
        <w:rPr>
          <w:rFonts w:hint="eastAsia" w:ascii="仿宋_GB2312" w:hAnsi="宋体" w:eastAsia="仿宋_GB2312"/>
          <w:color w:val="auto"/>
          <w:sz w:val="32"/>
          <w:szCs w:val="32"/>
          <w:highlight w:val="none"/>
        </w:rPr>
        <w:t xml:space="preserve">中标，报价不予调整。                               </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2、每一项目只允许有一个报价，任何有选择的报价将不予接受。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3、报价以元（人民币）为单位。</w:t>
      </w:r>
      <w:bookmarkStart w:id="3" w:name="_Toc88661389"/>
      <w:bookmarkStart w:id="4" w:name="_Toc26124"/>
    </w:p>
    <w:p>
      <w:pPr>
        <w:pStyle w:val="3"/>
        <w:spacing w:after="0" w:line="560" w:lineRule="exact"/>
        <w:ind w:firstLine="640" w:firstLineChars="200"/>
        <w:rPr>
          <w:rFonts w:hint="eastAsia" w:ascii="仿宋_GB2312" w:hAnsi="宋体" w:eastAsia="仿宋_GB2312"/>
          <w:color w:val="auto"/>
          <w:sz w:val="32"/>
          <w:szCs w:val="32"/>
          <w:highlight w:val="none"/>
        </w:rPr>
      </w:pPr>
    </w:p>
    <w:p>
      <w:pPr>
        <w:pStyle w:val="3"/>
        <w:spacing w:after="0" w:line="560" w:lineRule="exact"/>
        <w:ind w:firstLine="640" w:firstLineChars="200"/>
        <w:rPr>
          <w:rFonts w:hint="eastAsia" w:ascii="仿宋_GB2312" w:hAnsi="宋体" w:eastAsia="仿宋_GB2312"/>
          <w:color w:val="auto"/>
          <w:sz w:val="32"/>
          <w:szCs w:val="32"/>
          <w:highlight w:val="none"/>
        </w:rPr>
      </w:pPr>
    </w:p>
    <w:p>
      <w:pPr>
        <w:pStyle w:val="3"/>
        <w:spacing w:after="0" w:line="560" w:lineRule="exact"/>
        <w:jc w:val="center"/>
        <w:rPr>
          <w:color w:val="auto"/>
          <w:highlight w:val="none"/>
        </w:rPr>
      </w:pPr>
      <w:r>
        <w:rPr>
          <w:rFonts w:hint="eastAsia" w:ascii="方正小标宋简体" w:hAnsi="仿宋_GB2312" w:eastAsia="方正小标宋简体"/>
          <w:b w:val="0"/>
          <w:bCs/>
          <w:color w:val="auto"/>
          <w:sz w:val="44"/>
          <w:szCs w:val="44"/>
          <w:highlight w:val="none"/>
        </w:rPr>
        <w:t>第三章 评分办法</w:t>
      </w:r>
      <w:bookmarkEnd w:id="3"/>
      <w:bookmarkEnd w:id="4"/>
    </w:p>
    <w:tbl>
      <w:tblPr>
        <w:tblStyle w:val="25"/>
        <w:tblW w:w="8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6"/>
        <w:gridCol w:w="1069"/>
        <w:gridCol w:w="1500"/>
        <w:gridCol w:w="5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14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序号</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评分因素</w:t>
            </w:r>
          </w:p>
        </w:tc>
        <w:tc>
          <w:tcPr>
            <w:tcW w:w="5368"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04" w:hRule="atLeast"/>
        </w:trPr>
        <w:tc>
          <w:tcPr>
            <w:tcW w:w="356"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1</w:t>
            </w:r>
          </w:p>
        </w:tc>
        <w:tc>
          <w:tcPr>
            <w:tcW w:w="1069"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商务</w:t>
            </w:r>
          </w:p>
          <w:p>
            <w:pPr>
              <w:jc w:val="center"/>
              <w:rPr>
                <w:color w:val="auto"/>
                <w:sz w:val="21"/>
                <w:szCs w:val="21"/>
                <w:highlight w:val="none"/>
              </w:rPr>
            </w:pPr>
            <w:r>
              <w:rPr>
                <w:rFonts w:hint="eastAsia"/>
                <w:color w:val="auto"/>
                <w:sz w:val="21"/>
                <w:szCs w:val="21"/>
                <w:highlight w:val="none"/>
              </w:rPr>
              <w:t>评分</w:t>
            </w:r>
          </w:p>
          <w:p>
            <w:pPr>
              <w:jc w:val="center"/>
              <w:rPr>
                <w:color w:val="auto"/>
                <w:sz w:val="21"/>
                <w:szCs w:val="21"/>
                <w:highlight w:val="none"/>
              </w:rPr>
            </w:pPr>
            <w:r>
              <w:rPr>
                <w:rFonts w:hint="eastAsia"/>
                <w:color w:val="auto"/>
                <w:sz w:val="21"/>
                <w:szCs w:val="21"/>
                <w:highlight w:val="none"/>
              </w:rPr>
              <w:t>标准</w:t>
            </w:r>
          </w:p>
          <w:p>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0</w:t>
            </w:r>
            <w:r>
              <w:rPr>
                <w:rFonts w:hint="eastAsia"/>
                <w:color w:val="auto"/>
                <w:sz w:val="21"/>
                <w:szCs w:val="21"/>
                <w:highlight w:val="none"/>
              </w:rPr>
              <w:t>分）</w:t>
            </w:r>
          </w:p>
        </w:tc>
        <w:tc>
          <w:tcPr>
            <w:tcW w:w="1500" w:type="dxa"/>
            <w:tcBorders>
              <w:top w:val="single" w:color="auto" w:sz="4" w:space="0"/>
              <w:left w:val="single" w:color="auto" w:sz="4" w:space="0"/>
              <w:right w:val="single" w:color="auto" w:sz="4" w:space="0"/>
            </w:tcBorders>
            <w:vAlign w:val="center"/>
          </w:tcPr>
          <w:p>
            <w:pPr>
              <w:jc w:val="center"/>
              <w:rPr>
                <w:rFonts w:hint="eastAsia"/>
                <w:color w:val="auto"/>
                <w:sz w:val="21"/>
                <w:szCs w:val="21"/>
                <w:highlight w:val="none"/>
                <w:lang w:val="en-US" w:eastAsia="zh-CN"/>
              </w:rPr>
            </w:pPr>
            <w:r>
              <w:rPr>
                <w:rFonts w:hint="eastAsia"/>
                <w:color w:val="auto"/>
                <w:sz w:val="21"/>
                <w:szCs w:val="21"/>
                <w:highlight w:val="none"/>
              </w:rPr>
              <w:t>业绩</w:t>
            </w:r>
            <w:r>
              <w:rPr>
                <w:rFonts w:hint="eastAsia"/>
                <w:color w:val="auto"/>
                <w:sz w:val="21"/>
                <w:szCs w:val="21"/>
                <w:highlight w:val="none"/>
                <w:lang w:val="en-US" w:eastAsia="zh-CN"/>
              </w:rPr>
              <w:t xml:space="preserve"> </w:t>
            </w:r>
          </w:p>
          <w:p>
            <w:pPr>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highlight w:val="none"/>
              </w:rPr>
            </w:pPr>
            <w:r>
              <w:rPr>
                <w:rFonts w:hint="eastAsia"/>
                <w:color w:val="auto"/>
                <w:sz w:val="21"/>
                <w:szCs w:val="21"/>
                <w:highlight w:val="none"/>
              </w:rPr>
              <w:t>自2021年（含）以来，具有所投产品相近（油田钻井、地质勘探钻井或工况相近的车载压滤机）销售业绩，每提供一个有效项目案例，得</w:t>
            </w:r>
            <w:r>
              <w:rPr>
                <w:rFonts w:hint="eastAsia"/>
                <w:color w:val="auto"/>
                <w:sz w:val="21"/>
                <w:szCs w:val="21"/>
                <w:highlight w:val="none"/>
                <w:lang w:val="en-US" w:eastAsia="zh-CN"/>
              </w:rPr>
              <w:t>1</w:t>
            </w:r>
            <w:r>
              <w:rPr>
                <w:rFonts w:hint="eastAsia"/>
                <w:color w:val="auto"/>
                <w:sz w:val="21"/>
                <w:szCs w:val="21"/>
                <w:highlight w:val="none"/>
              </w:rPr>
              <w:t>分，最高得</w:t>
            </w:r>
            <w:r>
              <w:rPr>
                <w:rFonts w:hint="eastAsia"/>
                <w:color w:val="auto"/>
                <w:sz w:val="21"/>
                <w:szCs w:val="21"/>
                <w:highlight w:val="none"/>
                <w:lang w:val="en-US" w:eastAsia="zh-CN"/>
              </w:rPr>
              <w:t>5</w:t>
            </w:r>
            <w:r>
              <w:rPr>
                <w:rFonts w:hint="eastAsia"/>
                <w:color w:val="auto"/>
                <w:sz w:val="21"/>
                <w:szCs w:val="21"/>
                <w:highlight w:val="none"/>
              </w:rPr>
              <w:t>分。</w:t>
            </w:r>
          </w:p>
          <w:p>
            <w:pPr>
              <w:jc w:val="left"/>
              <w:rPr>
                <w:rFonts w:hint="default" w:eastAsia="宋体"/>
                <w:color w:val="auto"/>
                <w:sz w:val="21"/>
                <w:szCs w:val="21"/>
                <w:highlight w:val="none"/>
                <w:lang w:val="en-US" w:eastAsia="zh-CN"/>
              </w:rPr>
            </w:pPr>
            <w:r>
              <w:rPr>
                <w:rFonts w:hint="eastAsia"/>
                <w:color w:val="auto"/>
                <w:sz w:val="21"/>
                <w:szCs w:val="21"/>
                <w:highlight w:val="none"/>
              </w:rPr>
              <w:t>注：需提供合同首页、合同盖章页及显示项目名称等上述内容的相关页复印件并加盖</w:t>
            </w:r>
            <w:r>
              <w:rPr>
                <w:rFonts w:hint="eastAsia"/>
                <w:color w:val="auto"/>
                <w:sz w:val="21"/>
                <w:szCs w:val="21"/>
                <w:highlight w:val="none"/>
                <w:lang w:eastAsia="zh-CN"/>
              </w:rPr>
              <w:t>投标</w:t>
            </w:r>
            <w:r>
              <w:rPr>
                <w:rFonts w:hint="eastAsia"/>
                <w:color w:val="auto"/>
                <w:sz w:val="21"/>
                <w:szCs w:val="21"/>
                <w:highlight w:val="none"/>
              </w:rPr>
              <w:t>人公章（不符合上述要求，或提供合同内容不完整、字迹模糊不清，视为无效合同）。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356"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069"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1"/>
                <w:szCs w:val="21"/>
                <w:highlight w:val="none"/>
              </w:rPr>
            </w:pPr>
            <w:r>
              <w:rPr>
                <w:rFonts w:hint="eastAsia"/>
                <w:color w:val="auto"/>
                <w:sz w:val="21"/>
                <w:szCs w:val="21"/>
                <w:highlight w:val="none"/>
              </w:rPr>
              <w:t>质保期承诺</w:t>
            </w:r>
          </w:p>
          <w:p>
            <w:pPr>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2</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highlight w:val="none"/>
              </w:rPr>
            </w:pPr>
            <w:r>
              <w:rPr>
                <w:rFonts w:hint="eastAsia"/>
                <w:color w:val="auto"/>
                <w:sz w:val="21"/>
                <w:szCs w:val="21"/>
                <w:highlight w:val="none"/>
                <w:lang w:val="en-US" w:eastAsia="zh-CN"/>
              </w:rPr>
              <w:t>在</w:t>
            </w:r>
            <w:r>
              <w:rPr>
                <w:rFonts w:hint="eastAsia"/>
                <w:color w:val="auto"/>
                <w:sz w:val="21"/>
                <w:szCs w:val="21"/>
                <w:highlight w:val="none"/>
              </w:rPr>
              <w:t>一年质保期要求</w:t>
            </w:r>
            <w:r>
              <w:rPr>
                <w:rFonts w:hint="eastAsia"/>
                <w:color w:val="auto"/>
                <w:sz w:val="21"/>
                <w:szCs w:val="21"/>
                <w:highlight w:val="none"/>
                <w:lang w:val="en-US" w:eastAsia="zh-CN"/>
              </w:rPr>
              <w:t>前提下</w:t>
            </w:r>
            <w:r>
              <w:rPr>
                <w:rFonts w:hint="eastAsia"/>
                <w:color w:val="auto"/>
                <w:sz w:val="21"/>
                <w:szCs w:val="21"/>
                <w:highlight w:val="none"/>
              </w:rPr>
              <w:t>，增加三个月质保期加</w:t>
            </w:r>
            <w:r>
              <w:rPr>
                <w:rFonts w:hint="eastAsia"/>
                <w:color w:val="auto"/>
                <w:sz w:val="21"/>
                <w:szCs w:val="21"/>
                <w:highlight w:val="none"/>
                <w:lang w:val="en-US" w:eastAsia="zh-CN"/>
              </w:rPr>
              <w:t>2</w:t>
            </w:r>
            <w:r>
              <w:rPr>
                <w:rFonts w:hint="eastAsia"/>
                <w:color w:val="auto"/>
                <w:sz w:val="21"/>
                <w:szCs w:val="21"/>
                <w:highlight w:val="none"/>
              </w:rPr>
              <w:t>分，最高得</w:t>
            </w:r>
            <w:r>
              <w:rPr>
                <w:rFonts w:hint="eastAsia"/>
                <w:color w:val="auto"/>
                <w:sz w:val="21"/>
                <w:szCs w:val="21"/>
                <w:highlight w:val="none"/>
                <w:lang w:val="en-US" w:eastAsia="zh-CN"/>
              </w:rPr>
              <w:t>2</w:t>
            </w:r>
            <w:r>
              <w:rPr>
                <w:rFonts w:hint="eastAsia"/>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4" w:hRule="atLeast"/>
        </w:trPr>
        <w:tc>
          <w:tcPr>
            <w:tcW w:w="356"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069" w:type="dxa"/>
            <w:vMerge w:val="continue"/>
            <w:tcBorders>
              <w:left w:val="single" w:color="auto" w:sz="4" w:space="0"/>
              <w:right w:val="single" w:color="auto" w:sz="4" w:space="0"/>
            </w:tcBorders>
            <w:vAlign w:val="center"/>
          </w:tcPr>
          <w:p>
            <w:pPr>
              <w:jc w:val="center"/>
              <w:rPr>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售后服务</w:t>
            </w:r>
          </w:p>
          <w:p>
            <w:pPr>
              <w:jc w:val="center"/>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pStyle w:val="63"/>
              <w:spacing w:line="276" w:lineRule="auto"/>
              <w:jc w:val="left"/>
              <w:rPr>
                <w:rFonts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eastAsia="zh-CN"/>
              </w:rPr>
              <w:t>投标</w:t>
            </w:r>
            <w:r>
              <w:rPr>
                <w:rFonts w:hint="eastAsia" w:ascii="Times New Roman" w:hAnsi="Times New Roman" w:eastAsia="宋体" w:cs="Times New Roman"/>
                <w:color w:val="auto"/>
                <w:kern w:val="2"/>
                <w:sz w:val="21"/>
                <w:szCs w:val="21"/>
                <w:highlight w:val="none"/>
              </w:rPr>
              <w:t>人的售后服务方案完善可行，完全满足</w:t>
            </w:r>
            <w:r>
              <w:rPr>
                <w:rFonts w:hint="eastAsia" w:ascii="Times New Roman" w:hAnsi="Times New Roman" w:eastAsia="宋体" w:cs="Times New Roman"/>
                <w:color w:val="auto"/>
                <w:kern w:val="2"/>
                <w:sz w:val="21"/>
                <w:szCs w:val="21"/>
                <w:highlight w:val="none"/>
                <w:lang w:eastAsia="zh-CN"/>
              </w:rPr>
              <w:t>投标</w:t>
            </w:r>
            <w:r>
              <w:rPr>
                <w:rFonts w:hint="eastAsia" w:ascii="Times New Roman" w:hAnsi="Times New Roman" w:eastAsia="宋体" w:cs="Times New Roman"/>
                <w:color w:val="auto"/>
                <w:kern w:val="2"/>
                <w:sz w:val="21"/>
                <w:szCs w:val="21"/>
                <w:highlight w:val="none"/>
              </w:rPr>
              <w:t>文件要求，得</w:t>
            </w:r>
            <w:r>
              <w:rPr>
                <w:rFonts w:hint="eastAsia" w:ascii="Times New Roman" w:hAnsi="Times New Roman" w:eastAsia="宋体" w:cs="Times New Roman"/>
                <w:color w:val="auto"/>
                <w:kern w:val="2"/>
                <w:sz w:val="21"/>
                <w:szCs w:val="21"/>
                <w:highlight w:val="none"/>
                <w:lang w:val="en-US" w:eastAsia="zh-CN"/>
              </w:rPr>
              <w:t>3</w:t>
            </w:r>
            <w:r>
              <w:rPr>
                <w:rFonts w:hint="eastAsia" w:ascii="Times New Roman" w:hAnsi="Times New Roman" w:eastAsia="宋体" w:cs="Times New Roman"/>
                <w:color w:val="auto"/>
                <w:kern w:val="2"/>
                <w:sz w:val="21"/>
                <w:szCs w:val="21"/>
                <w:highlight w:val="none"/>
              </w:rPr>
              <w:t>分；售后服务方案有缺漏但满足质保期要求得</w:t>
            </w:r>
            <w:r>
              <w:rPr>
                <w:rFonts w:hint="eastAsia" w:ascii="Times New Roman" w:hAnsi="Times New Roman" w:eastAsia="宋体" w:cs="Times New Roman"/>
                <w:color w:val="auto"/>
                <w:kern w:val="2"/>
                <w:sz w:val="21"/>
                <w:szCs w:val="21"/>
                <w:highlight w:val="none"/>
                <w:lang w:val="en-US" w:eastAsia="zh-CN"/>
              </w:rPr>
              <w:t>1-2</w:t>
            </w:r>
            <w:r>
              <w:rPr>
                <w:rFonts w:hint="eastAsia" w:ascii="Times New Roman" w:hAnsi="Times New Roman" w:eastAsia="宋体" w:cs="Times New Roman"/>
                <w:color w:val="auto"/>
                <w:kern w:val="2"/>
                <w:sz w:val="21"/>
                <w:szCs w:val="21"/>
                <w:highlight w:val="none"/>
              </w:rPr>
              <w:t>分；未提供方案或方案不满足质保期要求得0分。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356"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2</w:t>
            </w:r>
          </w:p>
        </w:tc>
        <w:tc>
          <w:tcPr>
            <w:tcW w:w="1069" w:type="dxa"/>
            <w:vMerge w:val="restart"/>
            <w:tcBorders>
              <w:top w:val="single" w:color="auto" w:sz="4" w:space="0"/>
              <w:left w:val="single" w:color="auto" w:sz="4" w:space="0"/>
              <w:right w:val="single" w:color="auto" w:sz="4" w:space="0"/>
            </w:tcBorders>
            <w:vAlign w:val="center"/>
          </w:tcPr>
          <w:p>
            <w:pPr>
              <w:jc w:val="center"/>
              <w:rPr>
                <w:color w:val="auto"/>
                <w:sz w:val="21"/>
                <w:szCs w:val="21"/>
                <w:highlight w:val="none"/>
              </w:rPr>
            </w:pPr>
            <w:r>
              <w:rPr>
                <w:color w:val="auto"/>
                <w:sz w:val="21"/>
                <w:szCs w:val="21"/>
                <w:highlight w:val="none"/>
              </w:rPr>
              <w:t>技术</w:t>
            </w:r>
          </w:p>
          <w:p>
            <w:pPr>
              <w:jc w:val="center"/>
              <w:rPr>
                <w:color w:val="auto"/>
                <w:sz w:val="21"/>
                <w:szCs w:val="21"/>
                <w:highlight w:val="none"/>
              </w:rPr>
            </w:pPr>
            <w:r>
              <w:rPr>
                <w:color w:val="auto"/>
                <w:sz w:val="21"/>
                <w:szCs w:val="21"/>
                <w:highlight w:val="none"/>
              </w:rPr>
              <w:t>评分</w:t>
            </w:r>
          </w:p>
          <w:p>
            <w:pPr>
              <w:jc w:val="center"/>
              <w:rPr>
                <w:color w:val="auto"/>
                <w:sz w:val="21"/>
                <w:szCs w:val="21"/>
                <w:highlight w:val="none"/>
              </w:rPr>
            </w:pPr>
            <w:r>
              <w:rPr>
                <w:color w:val="auto"/>
                <w:sz w:val="21"/>
                <w:szCs w:val="21"/>
                <w:highlight w:val="none"/>
              </w:rPr>
              <w:t>标准</w:t>
            </w:r>
          </w:p>
          <w:p>
            <w:pPr>
              <w:jc w:val="center"/>
              <w:rPr>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5</w:t>
            </w:r>
            <w:r>
              <w:rPr>
                <w:rFonts w:hint="eastAsia"/>
                <w:color w:val="auto"/>
                <w:sz w:val="21"/>
                <w:szCs w:val="21"/>
                <w:highlight w:val="none"/>
              </w:rPr>
              <w:t>分）</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对投标设备整体评价（</w:t>
            </w:r>
            <w:r>
              <w:rPr>
                <w:rFonts w:hint="eastAsia"/>
                <w:color w:val="auto"/>
                <w:sz w:val="21"/>
                <w:szCs w:val="21"/>
                <w:highlight w:val="none"/>
                <w:lang w:val="en-US" w:eastAsia="zh-CN"/>
              </w:rPr>
              <w:t>13</w:t>
            </w:r>
            <w:r>
              <w:rPr>
                <w:rFonts w:hint="eastAsia"/>
                <w:color w:val="auto"/>
                <w:sz w:val="21"/>
                <w:szCs w:val="21"/>
                <w:highlight w:val="none"/>
              </w:rPr>
              <w:t>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sz w:val="21"/>
                <w:szCs w:val="21"/>
                <w:highlight w:val="none"/>
              </w:rPr>
            </w:pPr>
            <w:r>
              <w:rPr>
                <w:rFonts w:hint="eastAsia"/>
                <w:color w:val="auto"/>
                <w:sz w:val="21"/>
                <w:szCs w:val="21"/>
                <w:highlight w:val="none"/>
              </w:rPr>
              <w:t>产品性能：</w:t>
            </w:r>
          </w:p>
          <w:p>
            <w:pPr>
              <w:numPr>
                <w:ilvl w:val="0"/>
                <w:numId w:val="1"/>
              </w:numPr>
              <w:jc w:val="left"/>
              <w:rPr>
                <w:rFonts w:hint="eastAsia"/>
                <w:color w:val="auto"/>
                <w:sz w:val="21"/>
                <w:szCs w:val="21"/>
                <w:highlight w:val="none"/>
              </w:rPr>
            </w:pPr>
            <w:r>
              <w:rPr>
                <w:rFonts w:hint="eastAsia"/>
                <w:color w:val="auto"/>
                <w:sz w:val="21"/>
                <w:szCs w:val="21"/>
                <w:highlight w:val="none"/>
              </w:rPr>
              <w:t>车辆</w:t>
            </w:r>
            <w:r>
              <w:rPr>
                <w:rFonts w:hint="eastAsia"/>
                <w:color w:val="auto"/>
                <w:sz w:val="21"/>
                <w:szCs w:val="21"/>
                <w:highlight w:val="none"/>
                <w:lang w:val="en-US" w:eastAsia="zh-CN"/>
              </w:rPr>
              <w:t>动力不小于</w:t>
            </w:r>
            <w:r>
              <w:rPr>
                <w:rFonts w:hint="eastAsia"/>
                <w:color w:val="auto"/>
                <w:sz w:val="21"/>
                <w:szCs w:val="21"/>
                <w:highlight w:val="none"/>
              </w:rPr>
              <w:t>330马力的，每</w:t>
            </w:r>
            <w:r>
              <w:rPr>
                <w:rFonts w:hint="eastAsia"/>
                <w:color w:val="auto"/>
                <w:sz w:val="21"/>
                <w:szCs w:val="21"/>
                <w:highlight w:val="none"/>
                <w:lang w:val="en-US" w:eastAsia="zh-CN"/>
              </w:rPr>
              <w:t>增加1</w:t>
            </w:r>
            <w:r>
              <w:rPr>
                <w:rFonts w:hint="eastAsia"/>
                <w:color w:val="auto"/>
                <w:sz w:val="21"/>
                <w:szCs w:val="21"/>
                <w:highlight w:val="none"/>
              </w:rPr>
              <w:t>0马力1分</w:t>
            </w:r>
            <w:r>
              <w:rPr>
                <w:rFonts w:hint="eastAsia"/>
                <w:color w:val="auto"/>
                <w:sz w:val="21"/>
                <w:szCs w:val="21"/>
                <w:highlight w:val="none"/>
                <w:lang w:eastAsia="zh-CN"/>
              </w:rPr>
              <w:t>，</w:t>
            </w:r>
            <w:r>
              <w:rPr>
                <w:rFonts w:hint="eastAsia"/>
                <w:color w:val="auto"/>
                <w:sz w:val="21"/>
                <w:szCs w:val="21"/>
                <w:highlight w:val="none"/>
                <w:lang w:val="en-US" w:eastAsia="zh-CN"/>
              </w:rPr>
              <w:t>最多加2分</w:t>
            </w:r>
            <w:r>
              <w:rPr>
                <w:rFonts w:hint="eastAsia"/>
                <w:color w:val="auto"/>
                <w:sz w:val="21"/>
                <w:szCs w:val="21"/>
                <w:highlight w:val="none"/>
              </w:rPr>
              <w:t>。</w:t>
            </w:r>
          </w:p>
          <w:p>
            <w:pPr>
              <w:numPr>
                <w:ilvl w:val="0"/>
                <w:numId w:val="1"/>
              </w:numPr>
              <w:jc w:val="left"/>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压紧压力</w:t>
            </w:r>
            <w:r>
              <w:rPr>
                <w:rFonts w:hint="eastAsia"/>
                <w:color w:val="auto"/>
                <w:sz w:val="21"/>
                <w:szCs w:val="21"/>
                <w:highlight w:val="none"/>
                <w:lang w:val="en-US" w:eastAsia="zh-CN"/>
              </w:rPr>
              <w:t>不小于</w:t>
            </w:r>
            <w:r>
              <w:rPr>
                <w:rFonts w:hint="eastAsia"/>
                <w:color w:val="auto"/>
                <w:sz w:val="21"/>
                <w:szCs w:val="21"/>
                <w:highlight w:val="none"/>
              </w:rPr>
              <w:t>16MPa的1分。</w:t>
            </w:r>
          </w:p>
          <w:p>
            <w:pPr>
              <w:numPr>
                <w:ilvl w:val="0"/>
                <w:numId w:val="1"/>
              </w:numPr>
              <w:jc w:val="left"/>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破胶箱容积不小于15立方加2分。</w:t>
            </w:r>
          </w:p>
          <w:p>
            <w:pPr>
              <w:numPr>
                <w:ilvl w:val="0"/>
                <w:numId w:val="1"/>
              </w:numPr>
              <w:jc w:val="left"/>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具备车载动力和外接电源动力加2分。</w:t>
            </w:r>
          </w:p>
          <w:p>
            <w:pPr>
              <w:numPr>
                <w:ilvl w:val="0"/>
                <w:numId w:val="1"/>
              </w:numPr>
              <w:jc w:val="left"/>
              <w:rPr>
                <w:rFonts w:hint="default"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具备挖机上料、泥浆泵上料两种方式</w:t>
            </w:r>
            <w:r>
              <w:rPr>
                <w:rFonts w:hint="eastAsia" w:cs="Times New Roman"/>
                <w:color w:val="auto"/>
                <w:kern w:val="2"/>
                <w:sz w:val="21"/>
                <w:szCs w:val="21"/>
                <w:highlight w:val="none"/>
                <w:lang w:val="en-US" w:eastAsia="zh-CN" w:bidi="ar-SA"/>
              </w:rPr>
              <w:t>2分。</w:t>
            </w:r>
          </w:p>
          <w:p>
            <w:pPr>
              <w:numPr>
                <w:ilvl w:val="0"/>
                <w:numId w:val="1"/>
              </w:numPr>
              <w:jc w:val="left"/>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适用于盐水泥浆，具备防腐性能加2分</w:t>
            </w:r>
          </w:p>
          <w:p>
            <w:pPr>
              <w:jc w:val="left"/>
              <w:rPr>
                <w:color w:val="auto"/>
                <w:sz w:val="21"/>
                <w:szCs w:val="21"/>
                <w:highlight w:val="none"/>
              </w:rPr>
            </w:pPr>
            <w:r>
              <w:rPr>
                <w:rFonts w:hint="eastAsia"/>
                <w:color w:val="auto"/>
                <w:sz w:val="21"/>
                <w:szCs w:val="21"/>
                <w:highlight w:val="none"/>
              </w:rPr>
              <w:t>生产能力：现货提供的2分、1个月内供货的1分。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356" w:type="dxa"/>
            <w:vMerge w:val="continue"/>
            <w:tcBorders>
              <w:top w:val="single" w:color="auto" w:sz="4" w:space="0"/>
              <w:left w:val="single" w:color="auto" w:sz="4" w:space="0"/>
              <w:right w:val="single" w:color="auto" w:sz="4" w:space="0"/>
            </w:tcBorders>
            <w:vAlign w:val="center"/>
          </w:tcPr>
          <w:p>
            <w:pPr>
              <w:jc w:val="center"/>
              <w:rPr>
                <w:color w:val="auto"/>
                <w:sz w:val="21"/>
                <w:szCs w:val="21"/>
                <w:highlight w:val="none"/>
              </w:rPr>
            </w:pPr>
          </w:p>
        </w:tc>
        <w:tc>
          <w:tcPr>
            <w:tcW w:w="1069" w:type="dxa"/>
            <w:vMerge w:val="continue"/>
            <w:tcBorders>
              <w:top w:val="single" w:color="auto" w:sz="4" w:space="0"/>
              <w:left w:val="single" w:color="auto" w:sz="4" w:space="0"/>
              <w:right w:val="single" w:color="auto" w:sz="4" w:space="0"/>
            </w:tcBorders>
            <w:vAlign w:val="center"/>
          </w:tcPr>
          <w:p>
            <w:pPr>
              <w:jc w:val="center"/>
              <w:rPr>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技术服务及培训（2分）</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highlight w:val="none"/>
              </w:rPr>
            </w:pPr>
            <w:r>
              <w:rPr>
                <w:rFonts w:hint="eastAsia"/>
                <w:color w:val="auto"/>
                <w:sz w:val="21"/>
                <w:szCs w:val="21"/>
                <w:highlight w:val="none"/>
              </w:rPr>
              <w:t>根据售后维修时间、技术服务、培训计划详细可行性，综合评价，横向比较，自主赋分1-2分。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356" w:type="dxa"/>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3</w:t>
            </w:r>
          </w:p>
        </w:tc>
        <w:tc>
          <w:tcPr>
            <w:tcW w:w="1069" w:type="dxa"/>
            <w:tcBorders>
              <w:top w:val="single" w:color="auto" w:sz="4" w:space="0"/>
              <w:left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投标</w:t>
            </w:r>
            <w:r>
              <w:rPr>
                <w:color w:val="auto"/>
                <w:sz w:val="21"/>
                <w:szCs w:val="21"/>
                <w:highlight w:val="none"/>
              </w:rPr>
              <w:t>报价评分标准</w:t>
            </w:r>
          </w:p>
          <w:p>
            <w:pPr>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75分）</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投标报价得分 =（评标基准价/投标报价）×75%×100</w:t>
            </w:r>
          </w:p>
        </w:tc>
        <w:tc>
          <w:tcPr>
            <w:tcW w:w="5368" w:type="dxa"/>
            <w:tcBorders>
              <w:top w:val="single" w:color="auto" w:sz="4" w:space="0"/>
              <w:left w:val="single" w:color="auto" w:sz="4" w:space="0"/>
              <w:bottom w:val="single" w:color="auto" w:sz="4" w:space="0"/>
              <w:right w:val="single" w:color="auto" w:sz="4" w:space="0"/>
            </w:tcBorders>
            <w:vAlign w:val="center"/>
          </w:tcPr>
          <w:p>
            <w:pPr>
              <w:jc w:val="left"/>
              <w:rPr>
                <w:color w:val="auto"/>
                <w:sz w:val="21"/>
                <w:szCs w:val="21"/>
                <w:highlight w:val="none"/>
              </w:rPr>
            </w:pPr>
            <w:r>
              <w:rPr>
                <w:rFonts w:hint="eastAsia"/>
                <w:color w:val="auto"/>
                <w:sz w:val="21"/>
                <w:szCs w:val="21"/>
                <w:highlight w:val="none"/>
              </w:rPr>
              <w:t>综合评分法中的价格分统一采用低价优先法计算，即满足</w:t>
            </w:r>
            <w:r>
              <w:rPr>
                <w:rFonts w:hint="eastAsia"/>
                <w:color w:val="auto"/>
                <w:sz w:val="21"/>
                <w:szCs w:val="21"/>
                <w:highlight w:val="none"/>
                <w:lang w:eastAsia="zh-CN"/>
              </w:rPr>
              <w:t>投标</w:t>
            </w:r>
            <w:r>
              <w:rPr>
                <w:rFonts w:hint="eastAsia"/>
                <w:color w:val="auto"/>
                <w:sz w:val="21"/>
                <w:szCs w:val="21"/>
                <w:highlight w:val="none"/>
              </w:rPr>
              <w:t>文件要求且投标价格最低的投标报价为评标基准价，其价格分为满分。其他</w:t>
            </w:r>
            <w:r>
              <w:rPr>
                <w:rFonts w:hint="eastAsia"/>
                <w:color w:val="auto"/>
                <w:sz w:val="21"/>
                <w:szCs w:val="21"/>
                <w:highlight w:val="none"/>
                <w:lang w:eastAsia="zh-CN"/>
              </w:rPr>
              <w:t>投标</w:t>
            </w:r>
            <w:r>
              <w:rPr>
                <w:rFonts w:hint="eastAsia"/>
                <w:color w:val="auto"/>
                <w:sz w:val="21"/>
                <w:szCs w:val="21"/>
                <w:highlight w:val="none"/>
              </w:rPr>
              <w:t>人的价格分统一按照下列公式计算：</w:t>
            </w:r>
          </w:p>
          <w:p>
            <w:pPr>
              <w:jc w:val="left"/>
              <w:rPr>
                <w:color w:val="auto"/>
                <w:sz w:val="21"/>
                <w:szCs w:val="21"/>
                <w:highlight w:val="none"/>
              </w:rPr>
            </w:pPr>
            <w:r>
              <w:rPr>
                <w:rFonts w:hint="eastAsia"/>
                <w:color w:val="auto"/>
                <w:sz w:val="21"/>
                <w:szCs w:val="21"/>
                <w:highlight w:val="none"/>
              </w:rPr>
              <w:t>投标报价得分=(评标基准价／投标人价格)×75%×100。</w:t>
            </w:r>
          </w:p>
        </w:tc>
      </w:tr>
    </w:tbl>
    <w:p>
      <w:pPr>
        <w:spacing w:line="240" w:lineRule="auto"/>
        <w:jc w:val="both"/>
        <w:rPr>
          <w:rFonts w:hint="eastAsia" w:ascii="方正小标宋简体" w:hAnsi="仿宋_GB2312" w:eastAsia="方正小标宋简体"/>
          <w:bCs/>
          <w:color w:val="auto"/>
          <w:kern w:val="44"/>
          <w:sz w:val="44"/>
          <w:szCs w:val="44"/>
          <w:highlight w:val="none"/>
        </w:rPr>
      </w:pPr>
    </w:p>
    <w:p>
      <w:pPr>
        <w:jc w:val="center"/>
        <w:rPr>
          <w:color w:val="auto"/>
          <w:highlight w:val="none"/>
        </w:rPr>
      </w:pPr>
      <w:r>
        <w:rPr>
          <w:rFonts w:hint="eastAsia" w:ascii="方正小标宋简体" w:hAnsi="仿宋_GB2312" w:eastAsia="方正小标宋简体"/>
          <w:bCs/>
          <w:color w:val="auto"/>
          <w:kern w:val="44"/>
          <w:sz w:val="44"/>
          <w:szCs w:val="44"/>
          <w:highlight w:val="none"/>
        </w:rPr>
        <w:t>第四章 合同模板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项目名称：一台泥浆不落地破胶压滤一体车采购项目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    方：江苏长江地质勘查院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乙    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合同签订地点：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合同签订日期</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1.合同目的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依据《中华人民共和国民法典》的有关规定，买卖双方本着平等、互惠互利原则，经协商一致，双方就钻机采购事宜协商一致，签订本合同。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2.合同标的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 双方同意：买方购进卖方出售的本合同第3.1款明确的产品。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卖方承担与供货有关的辅助服务，包括技术支持、运输、保险及包括但不限于安装、测试、提供技术援助</w:t>
      </w:r>
      <w:r>
        <w:rPr>
          <w:rFonts w:hint="eastAsia" w:ascii="仿宋_GB2312" w:hAnsi="仿宋_GB2312" w:eastAsia="仿宋_GB2312" w:cs="仿宋_GB2312"/>
          <w:color w:val="auto"/>
          <w:spacing w:val="-220"/>
          <w:sz w:val="32"/>
          <w:szCs w:val="32"/>
          <w:highlight w:val="none"/>
        </w:rPr>
        <w:t>、、</w:t>
      </w:r>
      <w:r>
        <w:rPr>
          <w:rFonts w:hint="eastAsia" w:ascii="仿宋_GB2312" w:hAnsi="仿宋_GB2312" w:eastAsia="仿宋_GB2312" w:cs="仿宋_GB2312"/>
          <w:color w:val="auto"/>
          <w:sz w:val="32"/>
          <w:szCs w:val="32"/>
          <w:highlight w:val="none"/>
        </w:rPr>
        <w:t>、培训等。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3.产品说明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 产品的名称、规格型号和数量、价格(含增值税及其他税费) 及质量要求。</w:t>
      </w:r>
    </w:p>
    <w:tbl>
      <w:tblPr>
        <w:tblStyle w:val="25"/>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1883"/>
        <w:gridCol w:w="1097"/>
        <w:gridCol w:w="994"/>
        <w:gridCol w:w="741"/>
        <w:gridCol w:w="801"/>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6" w:hRule="atLeast"/>
          <w:tblHeader/>
          <w:jc w:val="center"/>
        </w:trPr>
        <w:tc>
          <w:tcPr>
            <w:tcW w:w="643"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序号</w:t>
            </w:r>
          </w:p>
        </w:tc>
        <w:tc>
          <w:tcPr>
            <w:tcW w:w="1883"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设备名称（全称）</w:t>
            </w:r>
          </w:p>
        </w:tc>
        <w:tc>
          <w:tcPr>
            <w:tcW w:w="1097"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lang w:bidi="ar"/>
              </w:rPr>
            </w:pPr>
            <w:r>
              <w:rPr>
                <w:rFonts w:hint="eastAsia" w:ascii="仿宋_GB2312" w:hAnsi="仿宋_GB2312" w:eastAsia="仿宋_GB2312" w:cs="仿宋_GB2312"/>
                <w:color w:val="auto"/>
                <w:sz w:val="30"/>
                <w:szCs w:val="30"/>
                <w:highlight w:val="none"/>
                <w:lang w:bidi="ar"/>
              </w:rPr>
              <w:t>规格型号</w:t>
            </w:r>
          </w:p>
        </w:tc>
        <w:tc>
          <w:tcPr>
            <w:tcW w:w="994"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计量单位（台/套）</w:t>
            </w:r>
          </w:p>
        </w:tc>
        <w:tc>
          <w:tcPr>
            <w:tcW w:w="741"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bidi="ar"/>
              </w:rPr>
              <w:t>采购数量</w:t>
            </w:r>
          </w:p>
        </w:tc>
        <w:tc>
          <w:tcPr>
            <w:tcW w:w="801"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单价</w:t>
            </w:r>
          </w:p>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万元</w:t>
            </w:r>
          </w:p>
        </w:tc>
        <w:tc>
          <w:tcPr>
            <w:tcW w:w="1180"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总价</w:t>
            </w:r>
          </w:p>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万元</w:t>
            </w:r>
          </w:p>
        </w:tc>
        <w:tc>
          <w:tcPr>
            <w:tcW w:w="1180"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 w:hRule="atLeast"/>
          <w:jc w:val="center"/>
        </w:trPr>
        <w:tc>
          <w:tcPr>
            <w:tcW w:w="643"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1883"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泥浆不落地破胶压滤一体车</w:t>
            </w:r>
          </w:p>
        </w:tc>
        <w:tc>
          <w:tcPr>
            <w:tcW w:w="1097"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p>
        </w:tc>
        <w:tc>
          <w:tcPr>
            <w:tcW w:w="994"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台</w:t>
            </w:r>
          </w:p>
        </w:tc>
        <w:tc>
          <w:tcPr>
            <w:tcW w:w="741"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w:t>
            </w:r>
          </w:p>
        </w:tc>
        <w:tc>
          <w:tcPr>
            <w:tcW w:w="801"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p>
        </w:tc>
        <w:tc>
          <w:tcPr>
            <w:tcW w:w="1180"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p>
        </w:tc>
        <w:tc>
          <w:tcPr>
            <w:tcW w:w="1180" w:type="dxa"/>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见备注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 w:hRule="atLeast"/>
          <w:jc w:val="center"/>
        </w:trPr>
        <w:tc>
          <w:tcPr>
            <w:tcW w:w="8519" w:type="dxa"/>
            <w:gridSpan w:val="8"/>
            <w:tcMar>
              <w:top w:w="15" w:type="dxa"/>
              <w:left w:w="15" w:type="dxa"/>
              <w:right w:w="15" w:type="dxa"/>
            </w:tcMar>
            <w:vAlign w:val="center"/>
          </w:tcPr>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备注：</w:t>
            </w:r>
            <w:bookmarkStart w:id="5" w:name="_Hlk171691071"/>
            <w:r>
              <w:rPr>
                <w:rFonts w:hint="eastAsia" w:ascii="仿宋_GB2312" w:hAnsi="仿宋_GB2312" w:eastAsia="仿宋_GB2312" w:cs="仿宋_GB2312"/>
                <w:color w:val="auto"/>
                <w:sz w:val="30"/>
                <w:szCs w:val="30"/>
                <w:highlight w:val="none"/>
              </w:rPr>
              <w:t>可正常上专项作业车牌照或运输车辆牌照，可以正常运输压滤设备。</w:t>
            </w:r>
            <w:bookmarkEnd w:id="5"/>
            <w:r>
              <w:rPr>
                <w:rFonts w:hint="eastAsia" w:ascii="仿宋_GB2312" w:hAnsi="仿宋_GB2312" w:eastAsia="仿宋_GB2312" w:cs="仿宋_GB2312"/>
                <w:color w:val="auto"/>
                <w:sz w:val="30"/>
                <w:szCs w:val="30"/>
                <w:highlight w:val="none"/>
              </w:rPr>
              <w:t>车辆底盘不低于4轴；车架为重载双层车架；功率不低于330马力；</w:t>
            </w:r>
            <w:r>
              <w:rPr>
                <w:rFonts w:hint="eastAsia" w:ascii="仿宋_GB2312" w:hAnsi="仿宋_GB2312" w:eastAsia="仿宋_GB2312" w:cs="仿宋_GB2312"/>
                <w:color w:val="auto"/>
                <w:sz w:val="32"/>
                <w:szCs w:val="32"/>
                <w:highlight w:val="none"/>
              </w:rPr>
              <w:t>车长不低于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0"/>
                <w:szCs w:val="30"/>
                <w:highlight w:val="none"/>
              </w:rPr>
              <w:t>。压滤板面积不低于</w:t>
            </w:r>
            <w:r>
              <w:rPr>
                <w:rFonts w:hint="eastAsia" w:ascii="仿宋_GB2312" w:hAnsi="仿宋_GB2312" w:eastAsia="仿宋_GB2312" w:cs="仿宋_GB2312"/>
                <w:color w:val="auto"/>
                <w:sz w:val="30"/>
                <w:szCs w:val="30"/>
                <w:highlight w:val="none"/>
                <w:lang w:val="en-US" w:eastAsia="zh-CN"/>
              </w:rPr>
              <w:t>140</w:t>
            </w:r>
            <w:r>
              <w:rPr>
                <w:rFonts w:hint="eastAsia" w:ascii="仿宋_GB2312" w:hAnsi="仿宋_GB2312" w:eastAsia="仿宋_GB2312" w:cs="仿宋_GB2312"/>
                <w:color w:val="auto"/>
                <w:sz w:val="30"/>
                <w:szCs w:val="30"/>
                <w:highlight w:val="none"/>
              </w:rPr>
              <w:t>㎡；车载破胶罐不低于</w:t>
            </w:r>
            <w:r>
              <w:rPr>
                <w:rFonts w:hint="eastAsia" w:ascii="仿宋_GB2312" w:hAnsi="仿宋_GB2312" w:eastAsia="仿宋_GB2312" w:cs="仿宋_GB2312"/>
                <w:color w:val="auto"/>
                <w:sz w:val="30"/>
                <w:szCs w:val="30"/>
                <w:highlight w:val="none"/>
              </w:rPr>
              <w:t>1</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m³</w:t>
            </w:r>
            <w:r>
              <w:rPr>
                <w:rFonts w:hint="eastAsia" w:ascii="仿宋_GB2312" w:hAnsi="仿宋_GB2312" w:eastAsia="仿宋_GB2312" w:cs="仿宋_GB2312"/>
                <w:color w:val="auto"/>
                <w:sz w:val="30"/>
                <w:szCs w:val="30"/>
                <w:highlight w:val="none"/>
              </w:rPr>
              <w:t>。达到 HJ/T 283-2006标准、JB/T4333.1-2005相关标准。</w:t>
            </w:r>
            <w:r>
              <w:rPr>
                <w:rFonts w:hint="eastAsia" w:ascii="仿宋_GB2312" w:hAnsi="仿宋_GB2312" w:eastAsia="仿宋_GB2312" w:cs="仿宋_GB2312"/>
                <w:color w:val="auto"/>
                <w:sz w:val="32"/>
                <w:szCs w:val="32"/>
                <w:highlight w:val="none"/>
              </w:rPr>
              <w:t>进料泵采用</w:t>
            </w:r>
            <w:r>
              <w:rPr>
                <w:rFonts w:hint="eastAsia" w:ascii="仿宋_GB2312" w:hAnsi="仿宋_GB2312" w:eastAsia="仿宋_GB2312" w:cs="仿宋_GB2312"/>
                <w:color w:val="auto"/>
                <w:sz w:val="32"/>
                <w:szCs w:val="32"/>
                <w:highlight w:val="none"/>
                <w:lang w:val="en-US" w:eastAsia="zh-CN"/>
              </w:rPr>
              <w:t>高铬耐磨入料泵</w:t>
            </w:r>
            <w:r>
              <w:rPr>
                <w:rFonts w:hint="eastAsia" w:ascii="仿宋_GB2312" w:hAnsi="仿宋_GB2312" w:eastAsia="仿宋_GB2312" w:cs="仿宋_GB2312"/>
                <w:color w:val="auto"/>
                <w:sz w:val="32"/>
                <w:szCs w:val="32"/>
                <w:highlight w:val="none"/>
              </w:rPr>
              <w:t>。压紧压力不低于16MPa</w:t>
            </w:r>
          </w:p>
          <w:p>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该设备用于地质钻井的盐水体系泥浆使用后的废渣、废浆，固液分离使用。</w:t>
            </w:r>
            <w:r>
              <w:rPr>
                <w:rFonts w:hint="eastAsia" w:ascii="仿宋_GB2312" w:hAnsi="仿宋_GB2312" w:eastAsia="仿宋_GB2312" w:cs="仿宋_GB2312"/>
                <w:color w:val="auto"/>
                <w:sz w:val="32"/>
                <w:szCs w:val="32"/>
                <w:highlight w:val="none"/>
              </w:rPr>
              <w:t>压滤前带粗级过滤筛，压滤前能过滤粒径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mm以上杂物。</w:t>
            </w:r>
            <w:r>
              <w:rPr>
                <w:rFonts w:hint="eastAsia" w:ascii="仿宋_GB2312" w:hAnsi="仿宋_GB2312" w:eastAsia="仿宋_GB2312" w:cs="仿宋_GB2312"/>
                <w:color w:val="auto"/>
                <w:sz w:val="32"/>
                <w:szCs w:val="32"/>
                <w:highlight w:val="none"/>
                <w:lang w:val="en-US" w:eastAsia="zh-CN"/>
              </w:rPr>
              <w:t>同时具备挖机上料、泥浆泵上料两种方式，</w:t>
            </w:r>
            <w:r>
              <w:rPr>
                <w:rFonts w:hint="eastAsia" w:ascii="仿宋_GB2312" w:hAnsi="仿宋_GB2312" w:eastAsia="仿宋_GB2312" w:cs="仿宋_GB2312"/>
                <w:color w:val="auto"/>
                <w:sz w:val="30"/>
                <w:szCs w:val="30"/>
                <w:highlight w:val="none"/>
              </w:rPr>
              <w:t>废渣中颗粒粒径多数为从2微米至5毫米之间，但可能存在厘米级大颗粒物，故需要前置粗级过滤，防止滤网破损、堵塞。盐水体系泥浆使用除饱和盐水外，纤维素、聚丙烯等高粘聚合物多，岩粉含量多，故车载破胶罐体积至少为</w:t>
            </w:r>
            <w:r>
              <w:rPr>
                <w:rFonts w:hint="eastAsia" w:ascii="仿宋_GB2312" w:hAnsi="仿宋_GB2312" w:eastAsia="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rPr>
              <w:t>m³，便于破胶效率提高。该车实际每24小时处理地质钻井60%固相含量的泥浆废渣量不得低于150m³。</w:t>
            </w:r>
          </w:p>
        </w:tc>
      </w:tr>
    </w:tbl>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“质量要求”栏内须填写产品执行标准名称及编号，或买卖双方签订的技术协议名称等，并附标准及协议的文本（质量要求以</w:t>
      </w:r>
      <w:r>
        <w:rPr>
          <w:rFonts w:hint="eastAsia" w:ascii="仿宋_GB2312" w:hAnsi="仿宋_GB2312" w:eastAsia="仿宋_GB2312" w:cs="仿宋_GB2312"/>
          <w:color w:val="auto"/>
          <w:sz w:val="32"/>
          <w:szCs w:val="32"/>
          <w:highlight w:val="none"/>
          <w:lang w:eastAsia="zh-CN"/>
        </w:rPr>
        <w:t>采购</w:t>
      </w:r>
      <w:r>
        <w:rPr>
          <w:rFonts w:hint="eastAsia" w:ascii="仿宋_GB2312" w:hAnsi="仿宋_GB2312" w:eastAsia="仿宋_GB2312" w:cs="仿宋_GB2312"/>
          <w:color w:val="auto"/>
          <w:sz w:val="32"/>
          <w:szCs w:val="32"/>
          <w:highlight w:val="none"/>
        </w:rPr>
        <w:t>文件第六章技术要求为准）。</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4.包装及运输</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 运输方式：采用公路运输。卖方负责办理到</w:t>
      </w:r>
      <w:r>
        <w:rPr>
          <w:rFonts w:hint="eastAsia" w:ascii="仿宋_GB2312" w:hAnsi="仿宋_GB2312" w:eastAsia="仿宋_GB2312" w:cs="仿宋_GB2312"/>
          <w:color w:val="auto"/>
          <w:sz w:val="32"/>
          <w:szCs w:val="32"/>
          <w:highlight w:val="none"/>
          <w:u w:val="single"/>
        </w:rPr>
        <w:t xml:space="preserve">  江苏省常州市金坛区    </w:t>
      </w:r>
      <w:r>
        <w:rPr>
          <w:rFonts w:hint="eastAsia" w:ascii="仿宋_GB2312" w:hAnsi="仿宋_GB2312" w:eastAsia="仿宋_GB2312" w:cs="仿宋_GB2312"/>
          <w:color w:val="auto"/>
          <w:sz w:val="32"/>
          <w:szCs w:val="32"/>
          <w:highlight w:val="none"/>
        </w:rPr>
        <w:t>的运输，运费由卖方负担。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 卖方应提供能保持标的物完好的包装方式，适应长途海洋/ 航空/陆路运输以及气候变化，能够较好地防范野蛮装卸、潮湿、雨淋、腐蚀、高温、震动和抗冻。卖方对因包装不当造成产品的任何损害和产品损失负赔偿责任，对因包装保护措施失当导致产品锈蚀负赔偿责任，并赔偿因此给买方造成的全部经济损失。双方对包装另有要求的，可另行约定。</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 在运输由卖方负责的情况下，不管是卖方自行或委托第三方承运产品的，卖方应对产品的灭失、损坏、迟延造成的损失负全部赔偿责任。</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5.保险</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 卖方负责按照第6款规定的时间把货物运输到同款指定的交货地点，运输保险费用由卖方承担。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与标的物相关的其他保险，如政府或者当地法律法规要求的，卖方应当予以投保。</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6.交货时间、地点与交货方式</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 交货时间：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之前交付全部产品。如有变更需经买卖双方签字认可。</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 交货地点：卖方应在第6.1款约定的交货时间内，将买方采购的产品送达指定地点：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如果卖方未在约定的交货时间内将产品送交前述指定地点，则卖方应继续按照本合同规定履行交货义务并自行承担费用。否则，买方有权组织必要的运输，并有权从支付卖方的货款中直接扣除由此发生的全部费用。</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6.3 卖方应在发货前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内，以传真等书面形式向买方提供交货计划（内容包括合同号、设备名称、型号规格、数量、重量和体积、交货时间、地点、包装箱数、发票价值、启运日期、提货单号或航空路线、航班号、空运提货单号（如系空运）、预计到达日期等。如有易燃、易爆、危险品，应详细注明），买方核对信息符合本合同约定的，对交货计划予以确认。</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6.4 如因卖方没有及时通知，导致买方未能安排好且未及时接货的，所有的损失由卖方承担。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6.5 买方应及时作好准备，产品到达交货地点后及时办理接货手续。</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6.6 对于卖方交付的产品，买方应妥善接收。对于因卖方误发、多发或少发的产品，买方应及时通知卖方核实处理，相关费用由卖方承担。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6.7 本合同所有产品运抵交货地点后，双方代表或代理人共同开箱检验。如发现箱内产品短缺或损伤，应由卖方负责补足或更换，相关费用由卖方承担。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6.8 如产品包装发生损坏，则卖方应负责修复或更换，由此发生的费用由卖方承担。如果卖方没有履行此款规定的责任，买方有权在应支付的货款中扣除相应费用以弥补买方由此发生的实际费用。</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7.验收</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 买方有权在交货地点对卖方提交的产品在外观、数量、规格、资料完整性等方面按照本合同规定进行初验。</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 买方组织人员依据本合同约定的相关技术要求和国家标准及行业标准对产品在卖方总装调试时进行初步验收测试，在野外施工现场施工时进行综合验收。如果买方发现产品中存在缺陷，双方应根据实际情况协商确定合适的处理措施，相关费用由卖方承担：（1）如果产品存在严重的缺陷，则卖方应当提供合格的产品予以更换；（2）如果产品存在一些轻微的缺陷，经买方同意后，卖方应当及时采取措施，并纠正缺陷。</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7.3 所有产品通过买方的验收后，买方向卖方签发验收单。产品正式交付给买方且验收合格后，产品的所有权自买方接受产品之日起转移给买方。</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7.4 买方对产品的接受并不影响卖方对产品质量应当承担的保证义务。对买方在使用产品时发现的产品在设计、制造、材料和工艺等方面的缺陷和瑕疵，卖方仍应承担责任。</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8.结算方式、时间及地点</w:t>
      </w:r>
    </w:p>
    <w:p>
      <w:pPr>
        <w:ind w:firstLine="640" w:firstLineChars="200"/>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合同签订后，甲方支付合同总金额的 30%，车辆生产完成并出具公告，出厂前支付合同总金额的 30%，车辆上牌并验收合格后，乙方全额开具发票，付合同总金额的 30%，剩余 10%为质保金，质保期满一年，无质量问题 10 日内结清。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9.质量保证</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9.1 卖方保证产品以成熟的技术和行业内标准材料制造而成，质量各方面符合本合同以及技术手册中的规定，质保期为从产品到达交货地点，验收合格之日起的1年。</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9.2 无论本合同是否有相反规定，卖方就产品做出下列陈述和保证：</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 产品没有设计或制造上的瑕疵或缺陷；</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 卖方对本合同的执行不会违反任何相关法律法规、协议和义务，产品符合生产、储存、销售地相关法律规定的标准和要求。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9.3  质保期内，卖方应负责免费维护或维修(易损件除外)。若产品出现质量问题，卖方应按买方要求进行修理、更换，或赔偿买方的损失。由此产生的全部费用由卖方承担。质保期结束后，卖方依然有义务对所售产品进行维护或维修，其间所产生的费用由买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9.4 如果产品在质保期内出现质量问题，卖方收到买方维护要求的通知后，应在12小时内做出安排，提供技术支持。遇有严重技术问题、重大故障，需要维修或维护，卖方应在24小时内到达买方中国境内指定现场（在交通允许的情况下）；如果需要卖方到买方指定境外现场维修或维护产品，则卖方应及时派遣合格的技术人员并负责办理技术人员出境手续。</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9.5 因产品瑕疵或缺陷造成买方或第三方人身或财产损失的，卖方应负责赔偿。</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10.健康、安全与环境保护要求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卖方在生产/制造、储运买方需要的产品时,应满足如下要求: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10.1 提供的产品以及生产该产品的原材料必须满足国家、地方、行业的有关健康、安全、环境保护的法律、法规的要求。</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10.2 在保证产品质量前提下,应优先考虑采用无污染或少污染、健康、安全的生产工艺及设备,不得采用国家或地方巳禁止使用的生产工艺或设备。</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10.3 对生产产品过程中排放的超标污染物(废水、废气、固废、噪声等) 必须积极采取措施治理；并制订切实可行的计划,在规定期限内达到国家或地方的排放标准。</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10.4 在产品生产、储运过程中，要保证员工职业健康、安全生产，无重大安全事故。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10.5 在产品的包装上,除满足搬运等要求外,应优先采用可回收利用的包装材料,避免资源浪费。卖方应尽可能收回包装物。</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10.6 卖方应对储运人员进行必要的环境保护、消防安全、职业健康知识的培训,保证储运人员熟知在工作中如因工作失误将对环境造成的不良影响,以及一旦发生污染事故和/或安全事故,如何采取应急措施，减少污染、财产损失、人员伤害。</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11.检验</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产品抵达交货地点后，买方有权委托第三方或官方机构对产品的质量、规格和数量/重量进行检验并出据检验报告。如果发现所提交的产品与本合同约定的不一致，买方有权拒收产品。由此产生的费用或损失，由卖方承担。</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12.索赔</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卖方应保证，自产品抵达之日后如果发生质量问题，买方可立刻书面通知卖方，要求卖方负责赔偿相关损失。卖方应根据买方的要求立即消除缺陷，完全或部分更换产品或者根据缺陷情况降价处理。买方认为必要时，可自行消除缺陷，费用由卖方承担,此时买方有权直接从支付给卖方的货款中扣除。如果卖方在收到上述索赔要求之后一个月内没有答复买方，将被视为卖方已经接受索赔。</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13.不可抗力</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13.1 “不可抗力”指不能预见、不能避免并不能克服的客观事件，包括但不限于自然灾害如火灾、洪水、台风、地震、雷电等以及社会事件如战争、动乱、政府管制、罢工等。</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13.2 由于不可抗力导致一方或者双方不能完全或部分履行本合同义务，受不可抗力影响的一方或双方不承担违约责任，但应在不可抗力事件发生后 48 小时内及时通知对方，并在其后 7 日内向对方提供有效证明文件。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13.3 受不可抗力影响的一方或双方有义务采取措施，将因不可抗力造成的损失降低到最低程度。</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14.违约责任</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14.1 除本合同第13条中规定的不可抗力原因外，如卖方未按交货时间如期交货，则每迟延一天，卖方应向买方支付延期交付产品总价 5‱（万分之五）的违约金，买方有权直接从货款中扣除该违约金，此时卖方应继续履行交货义务。如卖方延期交货超过合同规定的交货时间 30 天以上，买方有权解除合同，卖方除支付违约金外，应赔偿买方因此遭受的全部经济损失。</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14.2 卖方交付的货物不符合本协议约定，买方要求更换或修理的，卖方应在收到买方通知后 10 日内重新提供更换/修理后的合格产品。买方要求退货的，卖方应承担退货产品价款 20 %（ 百分之 二十 ）的违约金。</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14.3 卖方应自接到买方通知起7日内向买方付清应付的退还货款、违约金或赔偿金。买方有权从其应向卖方支付的款项中直接扣除前述款项。</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15.争议解决方式</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15.1 一切因执行本合同或与本合同有关的争议，应由双方通过友善方式协商解决。如协商不能解决或不愿意协商时，任何一方均有权向买方所在地有管辖权的人民法院提起诉讼。</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15.2 在发生任何争议及任何争议处于协商、诉讼或任何其他程序期间，双方应继续履行其各自在本合同其余部分项下的义务。</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16.其它规定</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16.1 </w:t>
      </w:r>
      <w:r>
        <w:rPr>
          <w:rFonts w:hint="eastAsia" w:ascii="仿宋_GB2312" w:hAnsi="仿宋_GB2312" w:eastAsia="仿宋_GB2312" w:cs="仿宋_GB2312"/>
          <w:b/>
          <w:bCs/>
          <w:color w:val="auto"/>
          <w:sz w:val="32"/>
          <w:szCs w:val="32"/>
          <w:highlight w:val="none"/>
        </w:rPr>
        <w:t>转让：</w:t>
      </w:r>
      <w:r>
        <w:rPr>
          <w:rFonts w:hint="eastAsia" w:ascii="仿宋_GB2312" w:hAnsi="仿宋_GB2312" w:eastAsia="仿宋_GB2312" w:cs="仿宋_GB2312"/>
          <w:color w:val="auto"/>
          <w:sz w:val="32"/>
          <w:szCs w:val="32"/>
          <w:highlight w:val="none"/>
        </w:rPr>
        <w:t>未经对方事先书面同意，任何一方不得将本合同的部分或全部转让或分包给任何第三方。</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16.2 </w:t>
      </w:r>
      <w:r>
        <w:rPr>
          <w:rFonts w:hint="eastAsia" w:ascii="仿宋_GB2312" w:hAnsi="仿宋_GB2312" w:eastAsia="仿宋_GB2312" w:cs="仿宋_GB2312"/>
          <w:b/>
          <w:bCs/>
          <w:color w:val="auto"/>
          <w:sz w:val="32"/>
          <w:szCs w:val="32"/>
          <w:highlight w:val="none"/>
        </w:rPr>
        <w:t>保密：</w:t>
      </w:r>
      <w:r>
        <w:rPr>
          <w:rFonts w:hint="eastAsia" w:ascii="仿宋_GB2312" w:hAnsi="仿宋_GB2312" w:eastAsia="仿宋_GB2312" w:cs="仿宋_GB2312"/>
          <w:color w:val="auto"/>
          <w:sz w:val="32"/>
          <w:szCs w:val="32"/>
          <w:highlight w:val="none"/>
        </w:rPr>
        <w:t>合同各方对在履行本合同过程中所获知的对方的商业秘密（包括但不限于买方购买产品数量、清单、配置及买方客户清单、客户关系等）负有保密义务。</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16.3 </w:t>
      </w:r>
      <w:r>
        <w:rPr>
          <w:rFonts w:hint="eastAsia" w:ascii="仿宋_GB2312" w:hAnsi="仿宋_GB2312" w:eastAsia="仿宋_GB2312" w:cs="仿宋_GB2312"/>
          <w:b/>
          <w:bCs/>
          <w:color w:val="auto"/>
          <w:sz w:val="32"/>
          <w:szCs w:val="32"/>
          <w:highlight w:val="none"/>
        </w:rPr>
        <w:t>管辖：</w:t>
      </w:r>
      <w:r>
        <w:rPr>
          <w:rFonts w:hint="eastAsia" w:ascii="仿宋_GB2312" w:hAnsi="仿宋_GB2312" w:eastAsia="仿宋_GB2312" w:cs="仿宋_GB2312"/>
          <w:color w:val="auto"/>
          <w:sz w:val="32"/>
          <w:szCs w:val="32"/>
          <w:highlight w:val="none"/>
        </w:rPr>
        <w:t>本合同受中华人民共和国法律法规管辖。</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16.4 </w:t>
      </w:r>
      <w:r>
        <w:rPr>
          <w:rFonts w:hint="eastAsia" w:ascii="仿宋_GB2312" w:hAnsi="仿宋_GB2312" w:eastAsia="仿宋_GB2312" w:cs="仿宋_GB2312"/>
          <w:b/>
          <w:bCs/>
          <w:color w:val="auto"/>
          <w:sz w:val="32"/>
          <w:szCs w:val="32"/>
          <w:highlight w:val="none"/>
        </w:rPr>
        <w:t>非弃权：</w:t>
      </w:r>
      <w:r>
        <w:rPr>
          <w:rFonts w:hint="eastAsia" w:ascii="仿宋_GB2312" w:hAnsi="仿宋_GB2312" w:eastAsia="仿宋_GB2312" w:cs="仿宋_GB2312"/>
          <w:color w:val="auto"/>
          <w:sz w:val="32"/>
          <w:szCs w:val="32"/>
          <w:highlight w:val="none"/>
        </w:rPr>
        <w:t>任何一方未行使其于本合同项下的权利均不得构成或被视为该方对这些权利或其它权利的放弃或丧失。</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16.5 </w:t>
      </w:r>
      <w:r>
        <w:rPr>
          <w:rFonts w:hint="eastAsia" w:ascii="仿宋_GB2312" w:hAnsi="仿宋_GB2312" w:eastAsia="仿宋_GB2312" w:cs="仿宋_GB2312"/>
          <w:b/>
          <w:bCs/>
          <w:color w:val="auto"/>
          <w:sz w:val="32"/>
          <w:szCs w:val="32"/>
          <w:highlight w:val="none"/>
        </w:rPr>
        <w:t>权利瑕疵担保：</w:t>
      </w:r>
      <w:r>
        <w:rPr>
          <w:rFonts w:hint="eastAsia" w:ascii="仿宋_GB2312" w:hAnsi="仿宋_GB2312" w:eastAsia="仿宋_GB2312" w:cs="仿宋_GB2312"/>
          <w:color w:val="auto"/>
          <w:sz w:val="32"/>
          <w:szCs w:val="32"/>
          <w:highlight w:val="none"/>
        </w:rPr>
        <w:t>如因买方使用卖方提供的产品引起任何第三方（包括转售商和用户）针对买方或买方的关联机构及其人员的所有权、知识产权或任何其它权利纠纷、索赔，卖方应在收到买方书面通知后15日内开始以卖方自己的费用解决，同时卖方应补偿买方因此遭受的全部损失和费用（包括但不限于调查、法律程序和合理的律师费用、损害赔偿金、罚款以及其它损失或损害）。</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16.6 </w:t>
      </w:r>
      <w:r>
        <w:rPr>
          <w:rFonts w:hint="eastAsia" w:ascii="仿宋_GB2312" w:hAnsi="仿宋_GB2312" w:eastAsia="仿宋_GB2312" w:cs="仿宋_GB2312"/>
          <w:b/>
          <w:bCs/>
          <w:color w:val="auto"/>
          <w:sz w:val="32"/>
          <w:szCs w:val="32"/>
          <w:highlight w:val="none"/>
        </w:rPr>
        <w:t>修改：</w:t>
      </w:r>
      <w:r>
        <w:rPr>
          <w:rFonts w:hint="eastAsia" w:ascii="仿宋_GB2312" w:hAnsi="仿宋_GB2312" w:eastAsia="仿宋_GB2312" w:cs="仿宋_GB2312"/>
          <w:color w:val="auto"/>
          <w:sz w:val="32"/>
          <w:szCs w:val="32"/>
          <w:highlight w:val="none"/>
        </w:rPr>
        <w:t>对本合同的任何修改仅得以经双方盖章生效后的书面补充协议进行。</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16.7 </w:t>
      </w:r>
      <w:r>
        <w:rPr>
          <w:rFonts w:hint="eastAsia" w:ascii="仿宋_GB2312" w:hAnsi="仿宋_GB2312" w:eastAsia="仿宋_GB2312" w:cs="仿宋_GB2312"/>
          <w:b/>
          <w:bCs/>
          <w:color w:val="auto"/>
          <w:sz w:val="32"/>
          <w:szCs w:val="32"/>
          <w:highlight w:val="none"/>
        </w:rPr>
        <w:t>优先适用：</w:t>
      </w:r>
      <w:r>
        <w:rPr>
          <w:rFonts w:hint="eastAsia" w:ascii="仿宋_GB2312" w:hAnsi="仿宋_GB2312" w:eastAsia="仿宋_GB2312" w:cs="仿宋_GB2312"/>
          <w:color w:val="auto"/>
          <w:sz w:val="32"/>
          <w:szCs w:val="32"/>
          <w:highlight w:val="none"/>
        </w:rPr>
        <w:t>除本合同允许在附件中另行约定的内容外，如果附件中有任何内容与本合同规定不符，以本合同规定为准。如果本合同约定的特殊规定与本合同其他相关条款发生冲突，约定的特殊规定优先适用。</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rPr>
        <w:t xml:space="preserve">16.8 </w:t>
      </w:r>
      <w:r>
        <w:rPr>
          <w:rFonts w:hint="eastAsia" w:ascii="仿宋_GB2312" w:hAnsi="仿宋_GB2312" w:eastAsia="仿宋_GB2312" w:cs="仿宋_GB2312"/>
          <w:b/>
          <w:bCs/>
          <w:color w:val="auto"/>
          <w:sz w:val="32"/>
          <w:szCs w:val="32"/>
          <w:highlight w:val="none"/>
        </w:rPr>
        <w:t>合同的生效：</w:t>
      </w:r>
      <w:r>
        <w:rPr>
          <w:rFonts w:hint="eastAsia" w:ascii="仿宋_GB2312" w:hAnsi="仿宋_GB2312" w:eastAsia="仿宋_GB2312" w:cs="仿宋_GB2312"/>
          <w:color w:val="auto"/>
          <w:sz w:val="32"/>
          <w:szCs w:val="32"/>
          <w:highlight w:val="none"/>
          <w:lang w:val="zh-CN" w:bidi="zh-CN"/>
        </w:rPr>
        <w:t>本合同一式肆份，自签字盖章后生效，甲方叁份，乙方壹份，复印件有效。</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16.9</w:t>
      </w:r>
      <w:r>
        <w:rPr>
          <w:rFonts w:hint="eastAsia" w:ascii="仿宋_GB2312" w:hAnsi="仿宋_GB2312" w:eastAsia="仿宋_GB2312" w:cs="仿宋_GB2312"/>
          <w:b/>
          <w:bCs/>
          <w:color w:val="auto"/>
          <w:sz w:val="32"/>
          <w:szCs w:val="32"/>
          <w:highlight w:val="none"/>
        </w:rPr>
        <w:t>签署：</w:t>
      </w:r>
      <w:r>
        <w:rPr>
          <w:rFonts w:hint="eastAsia" w:ascii="仿宋_GB2312" w:hAnsi="仿宋_GB2312" w:eastAsia="仿宋_GB2312" w:cs="仿宋_GB2312"/>
          <w:color w:val="auto"/>
          <w:sz w:val="32"/>
          <w:szCs w:val="32"/>
          <w:highlight w:val="none"/>
        </w:rPr>
        <w:t>本合同经双方签署（代表签字并加盖各自有效印章）后，自首页载明的签署日期开始生效，如首页未填写签署日期的，则以双方最后一方签署日为生效日，至双方履行完各自的责任和义务时止。</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16.10 </w:t>
      </w:r>
      <w:r>
        <w:rPr>
          <w:rFonts w:hint="eastAsia" w:ascii="仿宋_GB2312" w:hAnsi="仿宋_GB2312" w:eastAsia="仿宋_GB2312" w:cs="仿宋_GB2312"/>
          <w:b/>
          <w:bCs/>
          <w:color w:val="auto"/>
          <w:sz w:val="32"/>
          <w:szCs w:val="32"/>
          <w:highlight w:val="none"/>
        </w:rPr>
        <w:t>卖方提供文件</w:t>
      </w:r>
      <w:r>
        <w:rPr>
          <w:rFonts w:hint="eastAsia" w:ascii="仿宋_GB2312" w:hAnsi="仿宋_GB2312" w:eastAsia="仿宋_GB2312" w:cs="仿宋_GB2312"/>
          <w:color w:val="auto"/>
          <w:sz w:val="32"/>
          <w:szCs w:val="32"/>
          <w:highlight w:val="none"/>
        </w:rPr>
        <w:t>：卖方向买方提供产品合格证、原厂质量检测报告、评价标准、产品使用说明书，同时卖方应严格按照买方要求按时提供增值税专用发票。</w:t>
      </w:r>
    </w:p>
    <w:p>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pacing w:val="4"/>
          <w:sz w:val="32"/>
          <w:szCs w:val="32"/>
          <w:highlight w:val="none"/>
        </w:rPr>
        <w:t>.11</w:t>
      </w:r>
      <w:r>
        <w:rPr>
          <w:rFonts w:hint="eastAsia" w:ascii="仿宋_GB2312" w:hAnsi="仿宋_GB2312" w:eastAsia="仿宋_GB2312" w:cs="仿宋_GB2312"/>
          <w:b/>
          <w:bCs/>
          <w:color w:val="auto"/>
          <w:sz w:val="32"/>
          <w:szCs w:val="32"/>
          <w:highlight w:val="none"/>
        </w:rPr>
        <w:t>其它：</w:t>
      </w:r>
    </w:p>
    <w:p>
      <w:pPr>
        <w:pStyle w:val="30"/>
        <w:numPr>
          <w:ilvl w:val="0"/>
          <w:numId w:val="2"/>
        </w:numPr>
        <w:ind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本合同附件为《发电机组设备配套清单》及相关技术协议为合同附件，与合同具有同等法律效力。</w:t>
      </w:r>
    </w:p>
    <w:p>
      <w:pPr>
        <w:pStyle w:val="30"/>
        <w:numPr>
          <w:ilvl w:val="0"/>
          <w:numId w:val="2"/>
        </w:numPr>
        <w:ind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本合同一式两份，供需双方各持一份，具有同等法律效力。</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甲方：</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 xml:space="preserve">     </w:t>
      </w:r>
      <w:r>
        <w:rPr>
          <w:rFonts w:hint="eastAsia" w:ascii="仿宋_GB2312" w:hAnsi="仿宋_GB2312" w:eastAsia="仿宋_GB2312" w:cs="仿宋_GB2312"/>
          <w:color w:val="auto"/>
          <w:sz w:val="32"/>
          <w:szCs w:val="32"/>
          <w:highlight w:val="none"/>
          <w:lang w:eastAsia="zh-Hans" w:bidi="zh-CN"/>
        </w:rPr>
        <w:t>乙方：</w:t>
      </w:r>
      <w:r>
        <w:rPr>
          <w:rFonts w:hint="eastAsia" w:ascii="仿宋_GB2312" w:hAnsi="仿宋_GB2312" w:eastAsia="仿宋_GB2312" w:cs="仿宋_GB2312"/>
          <w:color w:val="auto"/>
          <w:sz w:val="32"/>
          <w:szCs w:val="32"/>
          <w:highlight w:val="none"/>
          <w:lang w:bidi="zh-CN"/>
        </w:rPr>
        <w:t xml:space="preserve">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 xml:space="preserve">单位名称(公章)：                      单位名称(公章)：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开户行：</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 xml:space="preserve">                 开户行：</w:t>
      </w:r>
      <w:r>
        <w:rPr>
          <w:rFonts w:hint="eastAsia" w:ascii="仿宋_GB2312" w:hAnsi="仿宋_GB2312" w:eastAsia="仿宋_GB2312" w:cs="仿宋_GB2312"/>
          <w:color w:val="auto"/>
          <w:sz w:val="32"/>
          <w:szCs w:val="32"/>
          <w:highlight w:val="none"/>
          <w:lang w:bidi="zh-CN"/>
        </w:rPr>
        <w:t xml:space="preserve">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账号：</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 xml:space="preserve">        账号：</w:t>
      </w:r>
      <w:r>
        <w:rPr>
          <w:rFonts w:hint="eastAsia" w:ascii="仿宋_GB2312" w:hAnsi="仿宋_GB2312" w:eastAsia="仿宋_GB2312" w:cs="仿宋_GB2312"/>
          <w:color w:val="auto"/>
          <w:sz w:val="32"/>
          <w:szCs w:val="32"/>
          <w:highlight w:val="none"/>
          <w:lang w:bidi="zh-CN"/>
        </w:rPr>
        <w:t xml:space="preserve">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 xml:space="preserve">代理人：                              代理人：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通信地址：</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 xml:space="preserve">   通信地址：</w:t>
      </w:r>
      <w:r>
        <w:rPr>
          <w:rFonts w:hint="eastAsia" w:ascii="仿宋_GB2312" w:hAnsi="仿宋_GB2312" w:eastAsia="仿宋_GB2312" w:cs="仿宋_GB2312"/>
          <w:color w:val="auto"/>
          <w:sz w:val="32"/>
          <w:szCs w:val="32"/>
          <w:highlight w:val="none"/>
          <w:lang w:bidi="zh-CN"/>
        </w:rPr>
        <w:t xml:space="preserve">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电    话：</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 xml:space="preserve">              </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电    话：</w:t>
      </w:r>
      <w:r>
        <w:rPr>
          <w:rFonts w:hint="eastAsia" w:ascii="仿宋_GB2312" w:hAnsi="仿宋_GB2312" w:eastAsia="仿宋_GB2312" w:cs="仿宋_GB2312"/>
          <w:color w:val="auto"/>
          <w:sz w:val="32"/>
          <w:szCs w:val="32"/>
          <w:highlight w:val="none"/>
          <w:lang w:bidi="zh-CN"/>
        </w:rPr>
        <w:t xml:space="preserve"> </w:t>
      </w:r>
    </w:p>
    <w:p>
      <w:pPr>
        <w:rPr>
          <w:rFonts w:hint="eastAsia" w:ascii="仿宋_GB2312" w:hAnsi="仿宋_GB2312" w:eastAsia="仿宋_GB2312" w:cs="仿宋_GB2312"/>
          <w:color w:val="auto"/>
          <w:sz w:val="32"/>
          <w:szCs w:val="32"/>
          <w:highlight w:val="none"/>
          <w:lang w:val="zh-CN" w:bidi="zh-CN"/>
        </w:rPr>
      </w:pPr>
      <w:r>
        <w:rPr>
          <w:rFonts w:hint="eastAsia" w:ascii="仿宋_GB2312" w:hAnsi="仿宋_GB2312" w:eastAsia="仿宋_GB2312" w:cs="仿宋_GB2312"/>
          <w:color w:val="auto"/>
          <w:sz w:val="32"/>
          <w:szCs w:val="32"/>
          <w:highlight w:val="none"/>
          <w:lang w:val="zh-CN" w:bidi="zh-CN"/>
        </w:rPr>
        <w:t xml:space="preserve">签订日期：    年  月  日            </w:t>
      </w:r>
      <w:r>
        <w:rPr>
          <w:rFonts w:hint="eastAsia" w:ascii="仿宋_GB2312" w:hAnsi="仿宋_GB2312" w:eastAsia="仿宋_GB2312" w:cs="仿宋_GB2312"/>
          <w:color w:val="auto"/>
          <w:sz w:val="32"/>
          <w:szCs w:val="32"/>
          <w:highlight w:val="none"/>
          <w:lang w:bidi="zh-CN"/>
        </w:rPr>
        <w:t xml:space="preserve"> </w:t>
      </w:r>
      <w:r>
        <w:rPr>
          <w:rFonts w:hint="eastAsia" w:ascii="仿宋_GB2312" w:hAnsi="仿宋_GB2312" w:eastAsia="仿宋_GB2312" w:cs="仿宋_GB2312"/>
          <w:color w:val="auto"/>
          <w:sz w:val="32"/>
          <w:szCs w:val="32"/>
          <w:highlight w:val="none"/>
          <w:lang w:val="zh-CN" w:bidi="zh-CN"/>
        </w:rPr>
        <w:t xml:space="preserve"> 签订日期：    年  月  日</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jc w:val="center"/>
        <w:rPr>
          <w:rFonts w:ascii="方正小标宋简体" w:hAnsi="仿宋_GB2312" w:eastAsia="方正小标宋简体"/>
          <w:bCs/>
          <w:color w:val="auto"/>
          <w:kern w:val="44"/>
          <w:sz w:val="44"/>
          <w:szCs w:val="44"/>
          <w:highlight w:val="none"/>
        </w:rPr>
      </w:pPr>
      <w:bookmarkStart w:id="6" w:name="_Toc169858060"/>
      <w:bookmarkStart w:id="7" w:name="_Toc105378618"/>
      <w:bookmarkStart w:id="8" w:name="_Toc349058817"/>
      <w:bookmarkStart w:id="9" w:name="_Toc156134489"/>
      <w:bookmarkStart w:id="10" w:name="_Toc156288799"/>
      <w:bookmarkStart w:id="11" w:name="_Toc357082507"/>
      <w:bookmarkStart w:id="12" w:name="_Toc191289100"/>
      <w:r>
        <w:rPr>
          <w:rFonts w:hint="eastAsia" w:ascii="方正小标宋简体" w:hAnsi="仿宋_GB2312" w:eastAsia="方正小标宋简体"/>
          <w:bCs/>
          <w:color w:val="auto"/>
          <w:kern w:val="44"/>
          <w:sz w:val="44"/>
          <w:szCs w:val="44"/>
          <w:highlight w:val="none"/>
        </w:rPr>
        <w:t>第五章 技术要求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ascii="仿宋_GB2312" w:hAnsi="仿宋_GB2312" w:eastAsia="仿宋_GB2312" w:cs="仿宋_GB2312"/>
          <w:color w:val="auto"/>
          <w:sz w:val="32"/>
          <w:szCs w:val="32"/>
          <w:highlight w:val="none"/>
        </w:rPr>
      </w:pPr>
      <w:r>
        <w:rPr>
          <w:rFonts w:hint="eastAsia"/>
          <w:color w:val="auto"/>
          <w:highlight w:val="none"/>
        </w:rPr>
        <w:t xml:space="preserve">  </w:t>
      </w:r>
      <w:r>
        <w:rPr>
          <w:rFonts w:hint="eastAsia" w:ascii="仿宋_GB2312" w:hAnsi="仿宋_GB2312" w:eastAsia="仿宋_GB2312" w:cs="仿宋_GB2312"/>
          <w:color w:val="auto"/>
          <w:sz w:val="32"/>
          <w:szCs w:val="32"/>
          <w:highlight w:val="none"/>
        </w:rPr>
        <w:t xml:space="preserve"> 该设备主要用于地质钻井的盐水体系泥浆使用后的废渣、废浆，固液分离使用。废渣中颗粒粒径多数为从2微米至5毫米之间，但可能存在厘米级大颗粒物，故需要前置粗级过滤，防止滤网破损、堵塞。盐水体系泥浆使用除饱和盐水外，纤维素、聚丙烯等高粘聚合物多，岩粉含量多，故破胶罐体积至少为10m³，便于破胶效率提高。本次采购的设备需不低于下列技术指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color w:val="auto"/>
          <w:sz w:val="32"/>
          <w:szCs w:val="32"/>
          <w:highlight w:val="none"/>
        </w:rPr>
        <w:t xml:space="preserve"> </w:t>
      </w:r>
      <w:r>
        <w:rPr>
          <w:rFonts w:hint="eastAsia" w:ascii="仿宋_GB2312" w:hAnsi="仿宋_GB2312" w:eastAsia="仿宋_GB2312" w:cs="仿宋_GB2312"/>
          <w:color w:val="auto"/>
          <w:sz w:val="32"/>
          <w:szCs w:val="32"/>
          <w:highlight w:val="none"/>
        </w:rPr>
        <w:t>车载式的可正常上专项作业车牌照或运输车辆牌照，可以正常运输压滤设备。车辆底盘不低于4轴。车架为重载双层车架。功率不低于330马力。车长不低于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米。车载破胶罐不低于1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2.压滤机滤板面积不低于</w:t>
      </w:r>
      <w:r>
        <w:rPr>
          <w:rFonts w:hint="eastAsia" w:ascii="仿宋_GB2312" w:hAnsi="仿宋_GB2312" w:eastAsia="仿宋_GB2312" w:cs="仿宋_GB2312"/>
          <w:color w:val="auto"/>
          <w:sz w:val="32"/>
          <w:szCs w:val="32"/>
          <w:highlight w:val="none"/>
          <w:lang w:val="en-US" w:eastAsia="zh-CN"/>
        </w:rPr>
        <w:t>140</w:t>
      </w:r>
      <w:r>
        <w:rPr>
          <w:rFonts w:hint="eastAsia" w:ascii="Segoe UI Symbol" w:hAnsi="Segoe UI Symbol" w:eastAsia="仿宋_GB2312" w:cs="Segoe UI Symbol"/>
          <w:color w:val="auto"/>
          <w:sz w:val="32"/>
          <w:szCs w:val="32"/>
          <w:highlight w:val="none"/>
        </w:rPr>
        <w:t>㎡</w:t>
      </w:r>
      <w:r>
        <w:rPr>
          <w:rFonts w:hint="eastAsia" w:ascii="仿宋_GB2312" w:hAnsi="仿宋_GB2312" w:eastAsia="仿宋_GB2312" w:cs="仿宋_GB2312"/>
          <w:color w:val="auto"/>
          <w:sz w:val="32"/>
          <w:szCs w:val="32"/>
          <w:highlight w:val="none"/>
        </w:rPr>
        <w:t>。进料泵采用</w:t>
      </w:r>
      <w:r>
        <w:rPr>
          <w:rFonts w:hint="eastAsia" w:ascii="仿宋_GB2312" w:hAnsi="仿宋_GB2312" w:eastAsia="仿宋_GB2312" w:cs="仿宋_GB2312"/>
          <w:color w:val="auto"/>
          <w:sz w:val="32"/>
          <w:szCs w:val="32"/>
          <w:highlight w:val="none"/>
          <w:lang w:val="en-US" w:eastAsia="zh-CN"/>
        </w:rPr>
        <w:t>高铬耐磨入料泵</w:t>
      </w:r>
      <w:r>
        <w:rPr>
          <w:rFonts w:hint="eastAsia" w:ascii="仿宋_GB2312" w:hAnsi="仿宋_GB2312" w:eastAsia="仿宋_GB2312" w:cs="仿宋_GB2312"/>
          <w:color w:val="auto"/>
          <w:sz w:val="32"/>
          <w:szCs w:val="32"/>
          <w:highlight w:val="none"/>
        </w:rPr>
        <w:t>。压紧压力不低于16MPa。</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3.压滤前带粗级过滤筛，压滤前能过滤粒径</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mm以上杂物。</w:t>
      </w:r>
      <w:r>
        <w:rPr>
          <w:rFonts w:hint="eastAsia" w:ascii="仿宋_GB2312" w:hAnsi="仿宋_GB2312" w:eastAsia="仿宋_GB2312" w:cs="仿宋_GB2312"/>
          <w:color w:val="auto"/>
          <w:sz w:val="32"/>
          <w:szCs w:val="32"/>
          <w:highlight w:val="none"/>
          <w:lang w:val="en-US" w:eastAsia="zh-CN"/>
        </w:rPr>
        <w:t>同时具备挖机上料、泥浆泵上料两种方式。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4.包含破胶时间，实际每24小时处理地质钻井60%固相含量的泥浆废渣量不得低于150m³。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5.达到 HJ/T 283-2006、JB/T4333.1-2005相关标准。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rPr>
        <w:t>6.整机质保期不低于1年；厂家技术、故障现场支持，非偏远地区48小时内到达。</w:t>
      </w:r>
    </w:p>
    <w:p>
      <w:pPr>
        <w:rPr>
          <w:rFonts w:hint="eastAsia"/>
          <w:color w:val="auto"/>
          <w:highlight w:val="none"/>
          <w:shd w:val="clear" w:color="auto" w:fill="3B3838" w:themeFill="background2" w:themeFillShade="40"/>
        </w:rPr>
      </w:pPr>
      <w:r>
        <w:rPr>
          <w:rFonts w:hint="eastAsia"/>
          <w:color w:val="auto"/>
          <w:highlight w:val="none"/>
        </w:rPr>
        <w:t xml:space="preserve">  </w:t>
      </w:r>
    </w:p>
    <w:p>
      <w:pPr>
        <w:pStyle w:val="20"/>
        <w:rPr>
          <w:rFonts w:ascii="宋体" w:hAnsi="宋体" w:eastAsia="宋体" w:cs="宋体"/>
          <w:color w:val="auto"/>
          <w:highlight w:val="none"/>
        </w:rPr>
      </w:pPr>
      <w:r>
        <w:rPr>
          <w:rFonts w:hint="eastAsia" w:ascii="宋体" w:hAnsi="宋体" w:eastAsia="宋体" w:cs="宋体"/>
          <w:color w:val="auto"/>
          <w:highlight w:val="none"/>
        </w:rPr>
        <w:br w:type="page"/>
      </w:r>
    </w:p>
    <w:bookmarkEnd w:id="6"/>
    <w:p>
      <w:pPr>
        <w:pStyle w:val="5"/>
        <w:spacing w:before="0" w:after="0" w:line="660" w:lineRule="exact"/>
        <w:jc w:val="center"/>
        <w:rPr>
          <w:rFonts w:ascii="方正小标宋简体" w:hAnsi="仿宋_GB2312" w:eastAsia="方正小标宋简体"/>
          <w:b w:val="0"/>
          <w:bCs/>
          <w:color w:val="auto"/>
          <w:szCs w:val="44"/>
          <w:highlight w:val="none"/>
        </w:rPr>
      </w:pPr>
      <w:r>
        <w:rPr>
          <w:rFonts w:hint="eastAsia" w:ascii="方正小标宋简体" w:hAnsi="仿宋_GB2312" w:eastAsia="方正小标宋简体"/>
          <w:b w:val="0"/>
          <w:bCs/>
          <w:color w:val="auto"/>
          <w:szCs w:val="44"/>
          <w:highlight w:val="none"/>
        </w:rPr>
        <w:t>第六章  响应文件格式</w:t>
      </w:r>
    </w:p>
    <w:p>
      <w:pPr>
        <w:ind w:firstLine="900" w:firstLineChars="249"/>
        <w:rPr>
          <w:rFonts w:ascii="仿宋_GB2312" w:eastAsia="仿宋_GB2312"/>
          <w:b/>
          <w:bCs/>
          <w:color w:val="auto"/>
          <w:sz w:val="36"/>
          <w:szCs w:val="36"/>
          <w:highlight w:val="none"/>
          <w:u w:val="single"/>
        </w:rPr>
      </w:pPr>
    </w:p>
    <w:p>
      <w:pPr>
        <w:ind w:firstLine="900" w:firstLineChars="249"/>
        <w:rPr>
          <w:rFonts w:ascii="仿宋_GB2312" w:eastAsia="仿宋_GB2312"/>
          <w:b/>
          <w:bCs/>
          <w:color w:val="auto"/>
          <w:sz w:val="36"/>
          <w:szCs w:val="36"/>
          <w:highlight w:val="none"/>
          <w:u w:val="single"/>
        </w:rPr>
      </w:pPr>
    </w:p>
    <w:p>
      <w:pPr>
        <w:ind w:firstLine="1803" w:firstLineChars="499"/>
        <w:rPr>
          <w:rFonts w:ascii="仿宋_GB2312" w:eastAsia="仿宋_GB2312"/>
          <w:b/>
          <w:bCs/>
          <w:strike/>
          <w:color w:val="auto"/>
          <w:sz w:val="36"/>
          <w:szCs w:val="36"/>
          <w:highlight w:val="none"/>
        </w:rPr>
      </w:pPr>
      <w:r>
        <w:rPr>
          <w:rFonts w:hint="eastAsia" w:ascii="仿宋_GB2312" w:eastAsia="仿宋_GB2312"/>
          <w:b/>
          <w:bCs/>
          <w:color w:val="auto"/>
          <w:sz w:val="36"/>
          <w:szCs w:val="36"/>
          <w:highlight w:val="none"/>
          <w:u w:val="single"/>
        </w:rPr>
        <w:t xml:space="preserve">                      </w:t>
      </w:r>
      <w:bookmarkStart w:id="13" w:name="_Toc256695437"/>
      <w:bookmarkStart w:id="14" w:name="_Toc256691561"/>
      <w:r>
        <w:rPr>
          <w:rFonts w:hint="eastAsia" w:ascii="仿宋_GB2312" w:eastAsia="仿宋_GB2312"/>
          <w:b/>
          <w:bCs/>
          <w:color w:val="auto"/>
          <w:sz w:val="36"/>
          <w:szCs w:val="36"/>
          <w:highlight w:val="none"/>
        </w:rPr>
        <w:t>(项目名称)</w:t>
      </w:r>
      <w:bookmarkEnd w:id="13"/>
      <w:bookmarkEnd w:id="14"/>
    </w:p>
    <w:p>
      <w:pPr>
        <w:jc w:val="center"/>
        <w:rPr>
          <w:rFonts w:ascii="仿宋_GB2312" w:hAnsi="Cambria" w:eastAsia="仿宋_GB2312"/>
          <w:color w:val="auto"/>
          <w:spacing w:val="-20"/>
          <w:sz w:val="52"/>
          <w:szCs w:val="52"/>
          <w:highlight w:val="none"/>
        </w:rPr>
      </w:pPr>
      <w:r>
        <w:rPr>
          <w:rFonts w:hint="eastAsia" w:ascii="仿宋_GB2312" w:hAnsi="Cambria" w:eastAsia="仿宋_GB2312"/>
          <w:color w:val="auto"/>
          <w:spacing w:val="-20"/>
          <w:sz w:val="52"/>
          <w:szCs w:val="52"/>
          <w:highlight w:val="none"/>
        </w:rPr>
        <w:t xml:space="preserve">  </w:t>
      </w:r>
    </w:p>
    <w:p>
      <w:pPr>
        <w:jc w:val="center"/>
        <w:rPr>
          <w:rFonts w:ascii="仿宋_GB2312" w:hAnsi="Cambria" w:eastAsia="仿宋_GB2312"/>
          <w:b/>
          <w:color w:val="auto"/>
          <w:spacing w:val="-20"/>
          <w:sz w:val="52"/>
          <w:szCs w:val="52"/>
          <w:highlight w:val="none"/>
        </w:rPr>
      </w:pPr>
      <w:bookmarkStart w:id="15" w:name="_Toc256691562"/>
      <w:bookmarkStart w:id="16" w:name="_Toc256695438"/>
      <w:r>
        <w:rPr>
          <w:rFonts w:hint="eastAsia" w:ascii="仿宋_GB2312" w:hAnsi="Cambria" w:eastAsia="仿宋_GB2312"/>
          <w:b/>
          <w:color w:val="auto"/>
          <w:spacing w:val="-20"/>
          <w:sz w:val="52"/>
          <w:szCs w:val="52"/>
          <w:highlight w:val="none"/>
        </w:rPr>
        <w:t>响应文件</w:t>
      </w:r>
      <w:bookmarkEnd w:id="15"/>
      <w:bookmarkEnd w:id="16"/>
    </w:p>
    <w:p>
      <w:pPr>
        <w:jc w:val="center"/>
        <w:rPr>
          <w:rFonts w:ascii="仿宋_GB2312" w:eastAsia="仿宋_GB2312"/>
          <w:color w:val="auto"/>
          <w:sz w:val="32"/>
          <w:szCs w:val="32"/>
          <w:highlight w:val="none"/>
        </w:rPr>
      </w:pPr>
    </w:p>
    <w:p>
      <w:pPr>
        <w:jc w:val="center"/>
        <w:rPr>
          <w:rFonts w:ascii="仿宋_GB2312" w:hAnsi="宋体" w:eastAsia="仿宋_GB2312"/>
          <w:color w:val="auto"/>
          <w:sz w:val="32"/>
          <w:szCs w:val="32"/>
          <w:highlight w:val="none"/>
        </w:rPr>
      </w:pPr>
      <w:bookmarkStart w:id="17" w:name="_Toc256691563"/>
      <w:bookmarkStart w:id="18" w:name="_Toc256695439"/>
      <w:r>
        <w:rPr>
          <w:rFonts w:hint="eastAsia" w:ascii="仿宋_GB2312" w:hAnsi="宋体" w:eastAsia="仿宋_GB2312"/>
          <w:color w:val="auto"/>
          <w:sz w:val="32"/>
          <w:szCs w:val="32"/>
          <w:highlight w:val="none"/>
        </w:rPr>
        <w:t>项目编号：(         )</w:t>
      </w:r>
      <w:bookmarkEnd w:id="17"/>
      <w:bookmarkEnd w:id="18"/>
    </w:p>
    <w:p>
      <w:pPr>
        <w:jc w:val="center"/>
        <w:rPr>
          <w:rFonts w:ascii="仿宋_GB2312" w:eastAsia="仿宋_GB2312"/>
          <w:color w:val="auto"/>
          <w:sz w:val="52"/>
          <w:szCs w:val="52"/>
          <w:highlight w:val="none"/>
        </w:rPr>
      </w:pPr>
    </w:p>
    <w:p>
      <w:pPr>
        <w:jc w:val="center"/>
        <w:rPr>
          <w:rFonts w:ascii="仿宋_GB2312" w:eastAsia="仿宋_GB2312"/>
          <w:color w:val="auto"/>
          <w:sz w:val="52"/>
          <w:szCs w:val="52"/>
          <w:highlight w:val="non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jc w:val="center"/>
        <w:rPr>
          <w:rFonts w:ascii="仿宋_GB2312" w:eastAsia="仿宋_GB2312"/>
          <w:b/>
          <w:color w:val="auto"/>
          <w:sz w:val="32"/>
          <w:szCs w:val="32"/>
          <w:highlight w:val="none"/>
          <w:u w:val="single"/>
        </w:rPr>
      </w:pPr>
      <w:bookmarkStart w:id="19" w:name="_Toc256691564"/>
      <w:bookmarkStart w:id="20" w:name="_Toc256695440"/>
      <w:r>
        <w:rPr>
          <w:rFonts w:hint="eastAsia" w:ascii="仿宋_GB2312" w:eastAsia="仿宋_GB2312"/>
          <w:b/>
          <w:color w:val="auto"/>
          <w:sz w:val="32"/>
          <w:szCs w:val="32"/>
          <w:highlight w:val="none"/>
        </w:rPr>
        <w:t>投标人：</w:t>
      </w:r>
      <w:bookmarkEnd w:id="19"/>
      <w:bookmarkEnd w:id="20"/>
      <w:r>
        <w:rPr>
          <w:rFonts w:hint="eastAsia" w:ascii="仿宋_GB2312" w:eastAsia="仿宋_GB2312"/>
          <w:b/>
          <w:color w:val="auto"/>
          <w:sz w:val="32"/>
          <w:szCs w:val="32"/>
          <w:highlight w:val="none"/>
          <w:u w:val="single"/>
        </w:rPr>
        <w:t xml:space="preserve">             （盖单位章）</w:t>
      </w:r>
    </w:p>
    <w:p>
      <w:pPr>
        <w:jc w:val="center"/>
        <w:rPr>
          <w:rFonts w:ascii="仿宋_GB2312" w:eastAsia="仿宋_GB2312"/>
          <w:b/>
          <w:color w:val="auto"/>
          <w:sz w:val="32"/>
          <w:szCs w:val="32"/>
          <w:highlight w:val="none"/>
          <w:u w:val="single"/>
        </w:rPr>
      </w:pPr>
      <w:r>
        <w:rPr>
          <w:rFonts w:hint="eastAsia" w:ascii="仿宋_GB2312" w:eastAsia="仿宋_GB2312"/>
          <w:b/>
          <w:color w:val="auto"/>
          <w:sz w:val="32"/>
          <w:szCs w:val="32"/>
          <w:highlight w:val="none"/>
        </w:rPr>
        <w:t xml:space="preserve"> 法定代表人</w:t>
      </w:r>
      <w:r>
        <w:rPr>
          <w:rFonts w:hint="eastAsia" w:ascii="仿宋_GB2312" w:eastAsia="仿宋_GB2312"/>
          <w:b/>
          <w:color w:val="auto"/>
          <w:sz w:val="32"/>
          <w:szCs w:val="32"/>
          <w:highlight w:val="none"/>
          <w:u w:val="single"/>
        </w:rPr>
        <w:t>：              （签字）</w:t>
      </w:r>
    </w:p>
    <w:p>
      <w:pPr>
        <w:ind w:firstLine="1606" w:firstLineChars="500"/>
        <w:jc w:val="both"/>
        <w:rPr>
          <w:rFonts w:ascii="仿宋_GB2312" w:eastAsia="仿宋_GB2312"/>
          <w:b/>
          <w:color w:val="auto"/>
          <w:sz w:val="32"/>
          <w:szCs w:val="32"/>
          <w:highlight w:val="none"/>
        </w:rPr>
      </w:pPr>
      <w:bookmarkStart w:id="21" w:name="_Toc256691565"/>
      <w:bookmarkStart w:id="22" w:name="_Toc256695441"/>
      <w:r>
        <w:rPr>
          <w:rFonts w:hint="eastAsia" w:ascii="仿宋_GB2312" w:eastAsia="仿宋_GB2312"/>
          <w:b/>
          <w:color w:val="auto"/>
          <w:sz w:val="32"/>
          <w:szCs w:val="32"/>
          <w:highlight w:val="none"/>
        </w:rPr>
        <w:t>日期：</w:t>
      </w:r>
      <w:r>
        <w:rPr>
          <w:rFonts w:hint="eastAsia" w:ascii="仿宋_GB2312" w:eastAsia="仿宋_GB2312"/>
          <w:b/>
          <w:color w:val="auto"/>
          <w:sz w:val="32"/>
          <w:szCs w:val="32"/>
          <w:highlight w:val="none"/>
          <w:u w:val="single"/>
        </w:rPr>
        <w:t xml:space="preserve">       </w:t>
      </w:r>
      <w:r>
        <w:rPr>
          <w:rFonts w:hint="eastAsia" w:ascii="仿宋_GB2312" w:eastAsia="仿宋_GB2312"/>
          <w:b/>
          <w:color w:val="auto"/>
          <w:sz w:val="32"/>
          <w:szCs w:val="32"/>
          <w:highlight w:val="none"/>
        </w:rPr>
        <w:t>年</w:t>
      </w:r>
      <w:r>
        <w:rPr>
          <w:rFonts w:hint="eastAsia" w:ascii="仿宋_GB2312" w:eastAsia="仿宋_GB2312"/>
          <w:b/>
          <w:color w:val="auto"/>
          <w:sz w:val="32"/>
          <w:szCs w:val="32"/>
          <w:highlight w:val="none"/>
          <w:u w:val="single"/>
        </w:rPr>
        <w:t xml:space="preserve">       </w:t>
      </w:r>
      <w:r>
        <w:rPr>
          <w:rFonts w:hint="eastAsia" w:ascii="仿宋_GB2312" w:eastAsia="仿宋_GB2312"/>
          <w:b/>
          <w:color w:val="auto"/>
          <w:sz w:val="32"/>
          <w:szCs w:val="32"/>
          <w:highlight w:val="none"/>
        </w:rPr>
        <w:t>月</w:t>
      </w:r>
      <w:r>
        <w:rPr>
          <w:rFonts w:hint="eastAsia" w:ascii="仿宋_GB2312" w:eastAsia="仿宋_GB2312"/>
          <w:b/>
          <w:color w:val="auto"/>
          <w:sz w:val="32"/>
          <w:szCs w:val="32"/>
          <w:highlight w:val="none"/>
          <w:u w:val="single"/>
        </w:rPr>
        <w:t xml:space="preserve">      </w:t>
      </w:r>
      <w:r>
        <w:rPr>
          <w:rFonts w:hint="eastAsia" w:ascii="仿宋_GB2312" w:eastAsia="仿宋_GB2312"/>
          <w:b/>
          <w:color w:val="auto"/>
          <w:sz w:val="32"/>
          <w:szCs w:val="32"/>
          <w:highlight w:val="none"/>
        </w:rPr>
        <w:t>日</w:t>
      </w:r>
      <w:bookmarkEnd w:id="21"/>
      <w:bookmarkEnd w:id="22"/>
    </w:p>
    <w:p>
      <w:pPr>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目录</w:t>
      </w:r>
    </w:p>
    <w:p>
      <w:pPr>
        <w:pStyle w:val="4"/>
        <w:rPr>
          <w:rFonts w:hint="eastAsia" w:ascii="仿宋_GB2312" w:hAnsi="仿宋_GB2312" w:eastAsia="仿宋_GB2312" w:cs="仿宋_GB2312"/>
          <w:color w:val="auto"/>
          <w:sz w:val="28"/>
          <w:szCs w:val="28"/>
          <w:highlight w:val="none"/>
        </w:rPr>
      </w:pPr>
    </w:p>
    <w:p>
      <w:pPr>
        <w:pStyle w:val="4"/>
        <w:rPr>
          <w:rFonts w:hint="eastAsia" w:ascii="仿宋_GB2312" w:hAnsi="仿宋_GB2312" w:eastAsia="仿宋_GB2312" w:cs="仿宋_GB2312"/>
          <w:color w:val="auto"/>
          <w:sz w:val="28"/>
          <w:szCs w:val="28"/>
          <w:highlight w:val="none"/>
        </w:rPr>
      </w:pPr>
      <w:bookmarkStart w:id="23" w:name="_Toc352691655"/>
      <w:bookmarkStart w:id="24" w:name="_Toc7039"/>
      <w:bookmarkStart w:id="25" w:name="_Toc369531691"/>
      <w:r>
        <w:rPr>
          <w:rFonts w:hint="eastAsia" w:ascii="仿宋_GB2312" w:hAnsi="仿宋_GB2312" w:eastAsia="仿宋_GB2312" w:cs="仿宋_GB2312"/>
          <w:color w:val="auto"/>
          <w:sz w:val="28"/>
          <w:szCs w:val="28"/>
          <w:highlight w:val="none"/>
        </w:rPr>
        <w:t>一、投标函</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二、法定代表人（单位负责人）身份证明（适用于无委托代理人的情况）；</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二、授权委托书（适用于有委托代理人的情况）</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四、技术响应及偏差表</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五、报价表</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六、业绩</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七、技术性能指标的详细描述</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八、质保期服务计划</w:t>
      </w:r>
    </w:p>
    <w:p>
      <w:pPr>
        <w:pStyle w:val="4"/>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九、其他资料</w:t>
      </w:r>
    </w:p>
    <w:p>
      <w:pPr>
        <w:pStyle w:val="5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28"/>
          <w:szCs w:val="28"/>
          <w:highlight w:val="none"/>
        </w:rPr>
        <w:br w:type="page"/>
      </w:r>
      <w:bookmarkEnd w:id="23"/>
      <w:bookmarkEnd w:id="24"/>
      <w:bookmarkEnd w:id="25"/>
      <w:bookmarkStart w:id="26" w:name="_Toc88661410"/>
      <w:r>
        <w:rPr>
          <w:rFonts w:hint="eastAsia" w:ascii="黑体" w:hAnsi="黑体" w:eastAsia="黑体" w:cs="黑体"/>
          <w:color w:val="auto"/>
          <w:sz w:val="32"/>
          <w:szCs w:val="32"/>
          <w:highlight w:val="none"/>
        </w:rPr>
        <w:t>一、投标</w:t>
      </w:r>
      <w:bookmarkStart w:id="27" w:name="_Toc6931"/>
      <w:bookmarkStart w:id="28" w:name="_Toc369531692"/>
      <w:bookmarkStart w:id="29" w:name="_Toc352691656"/>
      <w:r>
        <w:rPr>
          <w:rFonts w:hint="eastAsia" w:ascii="黑体" w:hAnsi="黑体" w:eastAsia="黑体" w:cs="黑体"/>
          <w:color w:val="auto"/>
          <w:sz w:val="32"/>
          <w:szCs w:val="32"/>
          <w:highlight w:val="none"/>
        </w:rPr>
        <w:t>函</w:t>
      </w:r>
      <w:bookmarkEnd w:id="26"/>
    </w:p>
    <w:bookmarkEnd w:id="27"/>
    <w:bookmarkEnd w:id="28"/>
    <w:bookmarkEnd w:id="29"/>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（投标人名称）：</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1．我方已仔细研究了 </w:t>
      </w:r>
      <w:r>
        <w:rPr>
          <w:rFonts w:hint="eastAsia" w:ascii="仿宋_GB2312" w:hAnsi="仿宋_GB2312" w:eastAsia="仿宋_GB2312" w:cs="仿宋_GB2312"/>
          <w:color w:val="auto"/>
          <w:sz w:val="28"/>
          <w:szCs w:val="28"/>
          <w:highlight w:val="none"/>
          <w:u w:val="single"/>
        </w:rPr>
        <w:t xml:space="preserve"> （项目名称） </w:t>
      </w:r>
      <w:r>
        <w:rPr>
          <w:rFonts w:hint="eastAsia" w:ascii="仿宋_GB2312" w:hAnsi="仿宋_GB2312" w:eastAsia="仿宋_GB2312" w:cs="仿宋_GB2312"/>
          <w:color w:val="auto"/>
          <w:sz w:val="28"/>
          <w:szCs w:val="28"/>
          <w:highlight w:val="none"/>
        </w:rPr>
        <w:t>采购项目</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文件的全部内容，愿意以人民币（大写</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）的投标总报价（其中，增值税税率为</w:t>
      </w:r>
      <w:r>
        <w:rPr>
          <w:rFonts w:hint="eastAsia" w:ascii="仿宋_GB2312" w:hAnsi="仿宋_GB2312" w:eastAsia="仿宋_GB2312" w:cs="仿宋_GB2312"/>
          <w:color w:val="auto"/>
          <w:sz w:val="28"/>
          <w:szCs w:val="28"/>
          <w:highlight w:val="none"/>
          <w:u w:val="single"/>
        </w:rPr>
        <w:t xml:space="preserve">13%  </w:t>
      </w:r>
      <w:r>
        <w:rPr>
          <w:rFonts w:hint="eastAsia" w:ascii="仿宋_GB2312" w:hAnsi="仿宋_GB2312" w:eastAsia="仿宋_GB2312" w:cs="仿宋_GB2312"/>
          <w:color w:val="auto"/>
          <w:sz w:val="28"/>
          <w:szCs w:val="28"/>
          <w:highlight w:val="none"/>
        </w:rPr>
        <w:t xml:space="preserve">）提供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（设备名称及技术服务和质保期服务），并按合同约定履行义务。</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2.我方的</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文件包括下列内容：</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（1）投标函；</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（3）</w:t>
      </w:r>
      <w:r>
        <w:rPr>
          <w:rFonts w:hint="eastAsia" w:ascii="仿宋_GB2312" w:hAnsi="仿宋_GB2312" w:eastAsia="仿宋_GB2312" w:cs="仿宋_GB2312"/>
          <w:color w:val="auto"/>
          <w:sz w:val="28"/>
          <w:szCs w:val="28"/>
          <w:highlight w:val="none"/>
        </w:rPr>
        <w:t>商务、技术响应及偏差表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（4）报价表；</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（5）资格审查资料；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（6）技术性能指标的详细描述；</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（7）技术支持资料；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（8）技术服务和质保期服务计划；</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（9）其他资料；</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文件的上述组成部分如存在内容不一致的，以投标函为准。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3．我方承诺除商务和技术偏差表列出的偏差外，我方响应</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文件的全部要求。</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4．我方承诺在</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文件规定的投标有效期内不撤销</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5．如我方中标，我方承诺：</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（3）按照</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文件要求提交履约保证金</w:t>
      </w:r>
      <w:bookmarkStart w:id="30" w:name="_Toc369531694"/>
      <w:bookmarkStart w:id="31" w:name="_Toc1187"/>
      <w:bookmarkStart w:id="32" w:name="_Toc352691658"/>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bookmarkEnd w:id="30"/>
      <w:bookmarkEnd w:id="31"/>
      <w:bookmarkEnd w:id="32"/>
      <w:r>
        <w:rPr>
          <w:rFonts w:hint="eastAsia" w:ascii="仿宋_GB2312" w:hAnsi="仿宋_GB2312" w:eastAsia="仿宋_GB2312" w:cs="仿宋_GB2312"/>
          <w:color w:val="auto"/>
          <w:sz w:val="28"/>
          <w:szCs w:val="28"/>
          <w:highlight w:val="none"/>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（5）投标人已详细审查全部</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文件，包括第（补遗文件）（如果有的话）。我们完全理解并同意放弃对这方面有不明及误解的权力。</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（6）本投标有效期为自投标截止日起</w:t>
      </w:r>
      <w:r>
        <w:rPr>
          <w:rFonts w:hint="eastAsia" w:ascii="仿宋_GB2312" w:hAnsi="仿宋_GB2312" w:eastAsia="仿宋_GB2312" w:cs="仿宋_GB2312"/>
          <w:color w:val="auto"/>
          <w:sz w:val="28"/>
          <w:szCs w:val="28"/>
          <w:highlight w:val="none"/>
          <w:u w:val="single"/>
        </w:rPr>
        <w:t>（90</w:t>
      </w:r>
      <w:r>
        <w:rPr>
          <w:rFonts w:hint="eastAsia" w:ascii="仿宋_GB2312" w:hAnsi="仿宋_GB2312" w:eastAsia="仿宋_GB2312" w:cs="仿宋_GB2312"/>
          <w:color w:val="auto"/>
          <w:sz w:val="28"/>
          <w:szCs w:val="28"/>
          <w:highlight w:val="none"/>
        </w:rPr>
        <w:t>）日历日。</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（7）根据投标人须知规定，我方承诺，与买方聘请的为此项目提供咨询服务的公司及任何附属机构均无关联，我方不是买方的附属机构。</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（8）投标人同意提供按照贵方可能要求的与其投标有关的一切数据或资料。完全理解贵方不一定接受最低价的投标或收到的任何投标。</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6．我方在此声明，所递交的</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文件及有关资料内容完整、真实和准确，且不存在第二章“投标人须知”第1.4.3项规定的任何一种情形。</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                            （其他补充说明）。</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cs="仿宋_GB2312"/>
          <w:color w:val="auto"/>
          <w:sz w:val="28"/>
          <w:szCs w:val="28"/>
          <w:highlight w:val="none"/>
        </w:rPr>
      </w:pPr>
      <w:bookmarkStart w:id="33" w:name="_Toc369531695"/>
      <w:bookmarkEnd w:id="33"/>
      <w:bookmarkStart w:id="34" w:name="_Toc352691660"/>
      <w:bookmarkEnd w:id="34"/>
      <w:bookmarkStart w:id="35" w:name="_Toc16568"/>
      <w:bookmarkEnd w:id="35"/>
      <w:bookmarkStart w:id="36" w:name="_Toc352691659"/>
      <w:bookmarkEnd w:id="36"/>
      <w:bookmarkStart w:id="37" w:name="_Toc369531696"/>
      <w:bookmarkEnd w:id="37"/>
      <w:bookmarkStart w:id="38" w:name="_Toc16824"/>
      <w:bookmarkEnd w:id="38"/>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投标人</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（盖单位章）</w:t>
      </w:r>
    </w:p>
    <w:p>
      <w:pPr>
        <w:keepNext w:val="0"/>
        <w:keepLines w:val="0"/>
        <w:pageBreakBefore w:val="0"/>
        <w:widowControl w:val="0"/>
        <w:kinsoku/>
        <w:wordWrap/>
        <w:overflowPunct/>
        <w:topLinePunct w:val="0"/>
        <w:autoSpaceDE/>
        <w:autoSpaceDN/>
        <w:bidi w:val="0"/>
        <w:adjustRightInd/>
        <w:snapToGrid/>
        <w:spacing w:line="480" w:lineRule="exact"/>
        <w:ind w:left="5599" w:leftChars="266" w:hanging="5040" w:hangingChars="18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法定代表人（单位负责人）或其委托代理人：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地    址：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年      月      日</w:t>
      </w:r>
    </w:p>
    <w:p>
      <w:pPr>
        <w:pStyle w:val="50"/>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highlight w:val="none"/>
        </w:rPr>
      </w:pPr>
      <w:bookmarkStart w:id="39" w:name="_Toc88661411"/>
    </w:p>
    <w:p>
      <w:pPr>
        <w:pStyle w:val="50"/>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pPr>
        <w:pStyle w:val="5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二、法定代表人（单位负责人）身份证明</w:t>
      </w:r>
      <w:bookmarkEnd w:id="39"/>
    </w:p>
    <w:p>
      <w:pPr>
        <w:pStyle w:val="50"/>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投标人名称：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                性别：</w:t>
      </w:r>
      <w:bookmarkStart w:id="40" w:name="_Toc352691662"/>
      <w:bookmarkStart w:id="41" w:name="_Toc369531698"/>
      <w:bookmarkStart w:id="42" w:name="_Toc27897"/>
      <w:r>
        <w:rPr>
          <w:rFonts w:hint="eastAsia" w:ascii="仿宋_GB2312" w:hAnsi="仿宋_GB2312" w:eastAsia="仿宋_GB2312" w:cs="仿宋_GB2312"/>
          <w:color w:val="auto"/>
          <w:sz w:val="28"/>
          <w:szCs w:val="28"/>
          <w:highlight w:val="none"/>
        </w:rPr>
        <w:t xml:space="preserve">        年</w:t>
      </w:r>
      <w:bookmarkEnd w:id="40"/>
      <w:bookmarkEnd w:id="41"/>
      <w:bookmarkEnd w:id="42"/>
      <w:r>
        <w:rPr>
          <w:rFonts w:hint="eastAsia" w:ascii="仿宋_GB2312" w:hAnsi="仿宋_GB2312" w:eastAsia="仿宋_GB2312" w:cs="仿宋_GB2312"/>
          <w:color w:val="auto"/>
          <w:sz w:val="28"/>
          <w:szCs w:val="28"/>
          <w:highlight w:val="none"/>
        </w:rPr>
        <w:t>龄</w:t>
      </w:r>
      <w:bookmarkStart w:id="43" w:name="_Toc247514248"/>
      <w:bookmarkStart w:id="44" w:name="_Toc300835211"/>
      <w:bookmarkStart w:id="45" w:name="_Toc247527829"/>
      <w:bookmarkStart w:id="46" w:name="_Toc384308377"/>
      <w:bookmarkStart w:id="47" w:name="_Toc144974858"/>
      <w:bookmarkStart w:id="48" w:name="_Toc152045789"/>
      <w:bookmarkStart w:id="49" w:name="_Toc361508754"/>
      <w:bookmarkStart w:id="50" w:name="_Toc369531699"/>
      <w:bookmarkStart w:id="51" w:name="_Toc15573"/>
      <w:bookmarkStart w:id="52" w:name="_Toc152042578"/>
      <w:bookmarkStart w:id="53" w:name="_Toc352691663"/>
      <w:r>
        <w:rPr>
          <w:rFonts w:hint="eastAsia" w:ascii="仿宋_GB2312" w:hAnsi="仿宋_GB2312" w:eastAsia="仿宋_GB2312" w:cs="仿宋_GB2312"/>
          <w:color w:val="auto"/>
          <w:sz w:val="28"/>
          <w:szCs w:val="28"/>
          <w:highlight w:val="none"/>
        </w:rPr>
        <w:t>：</w:t>
      </w:r>
      <w:bookmarkEnd w:id="43"/>
      <w:bookmarkEnd w:id="44"/>
      <w:bookmarkEnd w:id="45"/>
      <w:bookmarkEnd w:id="46"/>
      <w:bookmarkEnd w:id="47"/>
      <w:bookmarkEnd w:id="48"/>
      <w:bookmarkEnd w:id="49"/>
      <w:bookmarkEnd w:id="50"/>
      <w:bookmarkEnd w:id="51"/>
      <w:bookmarkEnd w:id="52"/>
      <w:bookmarkEnd w:id="53"/>
      <w:r>
        <w:rPr>
          <w:rFonts w:hint="eastAsia" w:ascii="仿宋_GB2312" w:hAnsi="仿宋_GB2312" w:eastAsia="仿宋_GB2312" w:cs="仿宋_GB2312"/>
          <w:color w:val="auto"/>
          <w:sz w:val="28"/>
          <w:szCs w:val="28"/>
          <w:highlight w:val="none"/>
        </w:rPr>
        <w:t xml:space="preserve">        职务：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系                        （投标人名称）的法定代表人（单位负责人）。</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特此证明。</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附：法定代表人（单位负责人）身份证复印件。</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（盖单位章）</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pPr>
        <w:rPr>
          <w:rFonts w:hint="eastAsia" w:ascii="仿宋_GB2312" w:hAnsi="仿宋_GB2312" w:eastAsia="仿宋_GB2312" w:cs="仿宋_GB2312"/>
          <w:color w:val="auto"/>
          <w:sz w:val="28"/>
          <w:szCs w:val="28"/>
          <w:highlight w:val="none"/>
        </w:rPr>
      </w:pPr>
    </w:p>
    <w:p>
      <w:pPr>
        <w:pStyle w:val="5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54" w:name="_Toc88661412"/>
      <w:r>
        <w:rPr>
          <w:rFonts w:hint="eastAsia" w:ascii="黑体" w:hAnsi="黑体" w:eastAsia="黑体" w:cs="黑体"/>
          <w:color w:val="auto"/>
          <w:sz w:val="32"/>
          <w:szCs w:val="32"/>
          <w:highlight w:val="none"/>
        </w:rPr>
        <w:t>三、授权委托书</w:t>
      </w:r>
      <w:bookmarkEnd w:id="54"/>
    </w:p>
    <w:p>
      <w:pPr>
        <w:pStyle w:val="50"/>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（姓名）系</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（投标人名称）的法定代表人（单位负责人），现委托</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（姓名）为我方代理人。代理人根据授权，以我方名义签署、澄清确认、递交、撤回、修改设备采购</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文件、签订合同和处理有关事宜，其法律后果由我方承担。</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委托期限：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代理人无转委托权。</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附：法定代表人（单位负责人）身份证复印件及委托代理人身份证复印件。</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bookmarkStart w:id="55" w:name="_Toc501460789"/>
      <w:r>
        <w:rPr>
          <w:rFonts w:hint="eastAsia" w:ascii="仿宋_GB2312" w:hAnsi="仿宋_GB2312" w:eastAsia="仿宋_GB2312" w:cs="仿宋_GB2312"/>
          <w:color w:val="auto"/>
          <w:sz w:val="28"/>
          <w:szCs w:val="28"/>
          <w:highlight w:val="none"/>
        </w:rPr>
        <w:t>比 选 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（盖单位章）</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法定代表人（单位负责人）：</w:t>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u w:val="single"/>
        </w:rPr>
        <w:tab/>
      </w:r>
      <w:r>
        <w:rPr>
          <w:rFonts w:hint="eastAsia" w:ascii="仿宋_GB2312" w:hAnsi="仿宋_GB2312" w:eastAsia="仿宋_GB2312" w:cs="仿宋_GB2312"/>
          <w:color w:val="auto"/>
          <w:sz w:val="28"/>
          <w:szCs w:val="28"/>
          <w:highlight w:val="none"/>
        </w:rPr>
        <w:t>（签字）</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委托代理人：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（签字）</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rPr>
        <w:t xml:space="preserve">                   </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年       月       日</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bookmarkEnd w:id="55"/>
      <w:bookmarkStart w:id="56" w:name="_Toc384308381"/>
      <w:bookmarkStart w:id="57" w:name="_Toc152045792"/>
      <w:bookmarkStart w:id="58" w:name="_Toc152042581"/>
      <w:bookmarkStart w:id="59" w:name="_Toc144974861"/>
      <w:bookmarkStart w:id="60" w:name="_Toc247514284"/>
      <w:bookmarkStart w:id="61" w:name="_Toc13469"/>
      <w:bookmarkStart w:id="62" w:name="_Toc247527832"/>
      <w:bookmarkStart w:id="63" w:name="_Toc352691666"/>
      <w:bookmarkStart w:id="64" w:name="_Toc369531702"/>
      <w:bookmarkStart w:id="65" w:name="_Toc361508757"/>
      <w:bookmarkStart w:id="66" w:name="_Toc300835214"/>
    </w:p>
    <w:bookmarkEnd w:id="56"/>
    <w:bookmarkEnd w:id="57"/>
    <w:bookmarkEnd w:id="58"/>
    <w:bookmarkEnd w:id="59"/>
    <w:bookmarkEnd w:id="60"/>
    <w:bookmarkEnd w:id="61"/>
    <w:bookmarkEnd w:id="62"/>
    <w:bookmarkEnd w:id="63"/>
    <w:bookmarkEnd w:id="64"/>
    <w:bookmarkEnd w:id="65"/>
    <w:bookmarkEnd w:id="66"/>
    <w:p>
      <w:pPr>
        <w:pStyle w:val="50"/>
        <w:rPr>
          <w:rFonts w:hint="eastAsia" w:ascii="黑体" w:hAnsi="黑体" w:eastAsia="黑体" w:cs="黑体"/>
          <w:color w:val="auto"/>
          <w:sz w:val="32"/>
          <w:szCs w:val="32"/>
          <w:highlight w:val="none"/>
        </w:rPr>
      </w:pPr>
      <w:bookmarkStart w:id="67" w:name="_Toc88661414"/>
      <w:bookmarkStart w:id="68" w:name="_Toc520811189"/>
      <w:bookmarkStart w:id="69" w:name="_Toc511382675"/>
      <w:r>
        <w:rPr>
          <w:rFonts w:hint="eastAsia" w:ascii="黑体" w:hAnsi="黑体" w:eastAsia="黑体" w:cs="黑体"/>
          <w:color w:val="auto"/>
          <w:sz w:val="32"/>
          <w:szCs w:val="32"/>
          <w:highlight w:val="none"/>
        </w:rPr>
        <w:t>四、技术响应及偏差表</w:t>
      </w:r>
      <w:bookmarkEnd w:id="67"/>
    </w:p>
    <w:p>
      <w:pPr>
        <w:pStyle w:val="50"/>
        <w:rPr>
          <w:rFonts w:hint="eastAsia" w:ascii="仿宋_GB2312" w:hAnsi="仿宋_GB2312" w:eastAsia="仿宋_GB2312" w:cs="仿宋_GB2312"/>
          <w:color w:val="auto"/>
          <w:sz w:val="28"/>
          <w:szCs w:val="28"/>
          <w:highlight w:val="none"/>
        </w:rPr>
      </w:pPr>
    </w:p>
    <w:bookmarkEnd w:id="68"/>
    <w:bookmarkEnd w:id="69"/>
    <w:p>
      <w:pPr>
        <w:pStyle w:val="47"/>
        <w:rPr>
          <w:rFonts w:hint="eastAsia" w:ascii="仿宋_GB2312" w:hAnsi="仿宋_GB2312" w:eastAsia="仿宋_GB2312" w:cs="仿宋_GB2312"/>
          <w:color w:val="auto"/>
          <w:sz w:val="28"/>
          <w:szCs w:val="28"/>
          <w:highlight w:val="none"/>
        </w:rPr>
      </w:pPr>
      <w:bookmarkStart w:id="70" w:name="_Toc72737153"/>
      <w:bookmarkStart w:id="71" w:name="_Toc88661419"/>
      <w:bookmarkStart w:id="72" w:name="_Toc244261275"/>
      <w:bookmarkStart w:id="73" w:name="_Toc340108806"/>
      <w:bookmarkStart w:id="74" w:name="_Toc375727853"/>
      <w:bookmarkStart w:id="75" w:name="_Toc204592936"/>
      <w:bookmarkStart w:id="76" w:name="_Toc340061580"/>
      <w:bookmarkStart w:id="77" w:name="_Toc340138064"/>
      <w:bookmarkStart w:id="78" w:name="_Toc307924167"/>
      <w:r>
        <w:rPr>
          <w:rFonts w:hint="eastAsia" w:ascii="仿宋_GB2312" w:hAnsi="仿宋_GB2312" w:eastAsia="仿宋_GB2312" w:cs="仿宋_GB2312"/>
          <w:color w:val="auto"/>
          <w:sz w:val="28"/>
          <w:szCs w:val="28"/>
          <w:highlight w:val="none"/>
        </w:rPr>
        <w:t>技术规格响应/偏差表</w:t>
      </w:r>
      <w:bookmarkEnd w:id="70"/>
      <w:bookmarkEnd w:id="71"/>
    </w:p>
    <w:p>
      <w:pPr>
        <w:pStyle w:val="46"/>
        <w:rPr>
          <w:rFonts w:hint="eastAsia" w:ascii="仿宋_GB2312" w:hAnsi="仿宋_GB2312" w:eastAsia="仿宋_GB2312" w:cs="仿宋_GB2312"/>
          <w:color w:val="auto"/>
          <w:sz w:val="28"/>
          <w:szCs w:val="28"/>
          <w:highlight w:val="none"/>
        </w:rPr>
      </w:pPr>
    </w:p>
    <w:p>
      <w:pPr>
        <w:pStyle w:val="4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技术规格响应/偏差表</w:t>
      </w:r>
    </w:p>
    <w:p>
      <w:pPr>
        <w:pStyle w:val="4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投标人名称：____________ </w:t>
      </w:r>
    </w:p>
    <w:p>
      <w:pPr>
        <w:pStyle w:val="46"/>
        <w:rPr>
          <w:rFonts w:hint="eastAsia" w:ascii="仿宋_GB2312" w:hAnsi="仿宋_GB2312" w:eastAsia="仿宋_GB2312" w:cs="仿宋_GB2312"/>
          <w:color w:val="auto"/>
          <w:sz w:val="28"/>
          <w:szCs w:val="28"/>
          <w:highlight w:val="none"/>
        </w:rPr>
      </w:pPr>
    </w:p>
    <w:tbl>
      <w:tblPr>
        <w:tblStyle w:val="25"/>
        <w:tblW w:w="881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293"/>
        <w:gridCol w:w="1293"/>
        <w:gridCol w:w="1494"/>
        <w:gridCol w:w="1560"/>
        <w:gridCol w:w="1294"/>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293"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货物名称</w:t>
            </w:r>
          </w:p>
        </w:tc>
        <w:tc>
          <w:tcPr>
            <w:tcW w:w="1293"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条目号</w:t>
            </w:r>
          </w:p>
        </w:tc>
        <w:tc>
          <w:tcPr>
            <w:tcW w:w="1494"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技术条款</w:t>
            </w:r>
          </w:p>
        </w:tc>
        <w:tc>
          <w:tcPr>
            <w:tcW w:w="1560"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投标技术条款</w:t>
            </w:r>
          </w:p>
        </w:tc>
        <w:tc>
          <w:tcPr>
            <w:tcW w:w="1294"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响应/偏离</w:t>
            </w:r>
          </w:p>
        </w:tc>
        <w:tc>
          <w:tcPr>
            <w:tcW w:w="930" w:type="dxa"/>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293" w:type="dxa"/>
            <w:vAlign w:val="center"/>
          </w:tcPr>
          <w:p>
            <w:pPr>
              <w:rPr>
                <w:rFonts w:hint="eastAsia" w:ascii="仿宋_GB2312" w:hAnsi="仿宋_GB2312" w:eastAsia="仿宋_GB2312" w:cs="仿宋_GB2312"/>
                <w:color w:val="auto"/>
                <w:sz w:val="28"/>
                <w:szCs w:val="28"/>
                <w:highlight w:val="none"/>
              </w:rPr>
            </w:pPr>
          </w:p>
        </w:tc>
        <w:tc>
          <w:tcPr>
            <w:tcW w:w="1494" w:type="dxa"/>
            <w:vAlign w:val="center"/>
          </w:tcPr>
          <w:p>
            <w:pPr>
              <w:rPr>
                <w:rFonts w:hint="eastAsia" w:ascii="仿宋_GB2312" w:hAnsi="仿宋_GB2312" w:eastAsia="仿宋_GB2312" w:cs="仿宋_GB2312"/>
                <w:color w:val="auto"/>
                <w:sz w:val="28"/>
                <w:szCs w:val="28"/>
                <w:highlight w:val="none"/>
              </w:rPr>
            </w:pPr>
          </w:p>
        </w:tc>
        <w:tc>
          <w:tcPr>
            <w:tcW w:w="1560" w:type="dxa"/>
            <w:vAlign w:val="center"/>
          </w:tcPr>
          <w:p>
            <w:pPr>
              <w:rPr>
                <w:rFonts w:hint="eastAsia" w:ascii="仿宋_GB2312" w:hAnsi="仿宋_GB2312" w:eastAsia="仿宋_GB2312" w:cs="仿宋_GB2312"/>
                <w:color w:val="auto"/>
                <w:sz w:val="28"/>
                <w:szCs w:val="28"/>
                <w:highlight w:val="none"/>
              </w:rPr>
            </w:pPr>
          </w:p>
        </w:tc>
        <w:tc>
          <w:tcPr>
            <w:tcW w:w="1294" w:type="dxa"/>
            <w:vAlign w:val="center"/>
          </w:tcPr>
          <w:p>
            <w:pPr>
              <w:rPr>
                <w:rFonts w:hint="eastAsia" w:ascii="仿宋_GB2312" w:hAnsi="仿宋_GB2312" w:eastAsia="仿宋_GB2312" w:cs="仿宋_GB2312"/>
                <w:color w:val="auto"/>
                <w:sz w:val="28"/>
                <w:szCs w:val="28"/>
                <w:highlight w:val="none"/>
              </w:rPr>
            </w:pPr>
          </w:p>
        </w:tc>
        <w:tc>
          <w:tcPr>
            <w:tcW w:w="930" w:type="dxa"/>
            <w:vAlign w:val="center"/>
          </w:tcPr>
          <w:p>
            <w:pPr>
              <w:rPr>
                <w:rFonts w:hint="eastAsia" w:ascii="仿宋_GB2312" w:hAnsi="仿宋_GB2312" w:eastAsia="仿宋_GB2312" w:cs="仿宋_GB2312"/>
                <w:color w:val="auto"/>
                <w:sz w:val="28"/>
                <w:szCs w:val="28"/>
                <w:highlight w:val="none"/>
              </w:rPr>
            </w:pPr>
          </w:p>
        </w:tc>
      </w:tr>
    </w:tbl>
    <w:p>
      <w:pPr>
        <w:rPr>
          <w:rFonts w:hint="eastAsia" w:ascii="仿宋_GB2312" w:hAnsi="仿宋_GB2312" w:eastAsia="仿宋_GB2312" w:cs="仿宋_GB2312"/>
          <w:color w:val="auto"/>
          <w:sz w:val="28"/>
          <w:szCs w:val="28"/>
          <w:highlight w:val="none"/>
        </w:rPr>
      </w:pPr>
    </w:p>
    <w:p>
      <w:pPr>
        <w:pStyle w:val="4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郑重声明：</w:t>
      </w:r>
    </w:p>
    <w:p>
      <w:pPr>
        <w:pStyle w:val="4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制造商已认真阅读了</w:t>
      </w:r>
      <w:r>
        <w:rPr>
          <w:rFonts w:hint="eastAsia" w:ascii="仿宋_GB2312" w:hAnsi="仿宋_GB2312" w:eastAsia="仿宋_GB2312" w:cs="仿宋_GB2312"/>
          <w:b/>
          <w:bCs/>
          <w:color w:val="auto"/>
          <w:sz w:val="28"/>
          <w:szCs w:val="28"/>
          <w:highlight w:val="none"/>
        </w:rPr>
        <w:t>技术规格书</w:t>
      </w:r>
      <w:r>
        <w:rPr>
          <w:rFonts w:hint="eastAsia" w:ascii="仿宋_GB2312" w:hAnsi="仿宋_GB2312" w:eastAsia="仿宋_GB2312" w:cs="仿宋_GB2312"/>
          <w:color w:val="auto"/>
          <w:sz w:val="28"/>
          <w:szCs w:val="28"/>
          <w:highlight w:val="none"/>
        </w:rPr>
        <w:t>，并完全了解货物使用环境、工况、等买方的各项要求，并将投标货物与技术规格书存在的偏差已全部列于表中。我们在此郑重承诺：</w:t>
      </w:r>
    </w:p>
    <w:p>
      <w:pPr>
        <w:pStyle w:val="4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果我们中标，无论何时提供的任何文件，如谈判、澄清、确认和修改等文件，任何偏差或修改均单独列出并予以逐条说明。未在书面文件中单独列出的偏差或修改内容，买方随时有权拒绝接受，我方承担商品的质量、规格与合同不符的责任，并接受按合同索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rPr>
        <w:sectPr>
          <w:footerReference r:id="rId3" w:type="default"/>
          <w:pgSz w:w="11907" w:h="16839"/>
          <w:pgMar w:top="1474" w:right="1474" w:bottom="1531" w:left="1474" w:header="851" w:footer="992" w:gutter="397"/>
          <w:cols w:space="720" w:num="1"/>
          <w:docGrid w:linePitch="299" w:charSpace="0"/>
        </w:sectPr>
      </w:pPr>
      <w:r>
        <w:rPr>
          <w:rFonts w:hint="eastAsia" w:ascii="仿宋_GB2312" w:hAnsi="仿宋_GB2312" w:eastAsia="仿宋_GB2312" w:cs="仿宋_GB2312"/>
          <w:color w:val="auto"/>
          <w:sz w:val="28"/>
          <w:szCs w:val="28"/>
          <w:highlight w:val="none"/>
        </w:rPr>
        <w:t>注：所有负偏差项必须在此表中列出，无偏差项（包括正偏差项）不要写入此表。</w:t>
      </w:r>
    </w:p>
    <w:p>
      <w:pPr>
        <w:pStyle w:val="50"/>
        <w:rPr>
          <w:rFonts w:hint="eastAsia" w:ascii="黑体" w:hAnsi="黑体" w:eastAsia="黑体" w:cs="黑体"/>
          <w:color w:val="auto"/>
          <w:sz w:val="32"/>
          <w:szCs w:val="32"/>
          <w:highlight w:val="none"/>
        </w:rPr>
      </w:pPr>
      <w:bookmarkStart w:id="79" w:name="_Toc88661420"/>
      <w:r>
        <w:rPr>
          <w:rFonts w:hint="eastAsia" w:ascii="黑体" w:hAnsi="黑体" w:eastAsia="黑体" w:cs="黑体"/>
          <w:color w:val="auto"/>
          <w:sz w:val="32"/>
          <w:szCs w:val="32"/>
          <w:highlight w:val="none"/>
        </w:rPr>
        <w:t>五、报价表</w:t>
      </w:r>
      <w:bookmarkEnd w:id="79"/>
    </w:p>
    <w:bookmarkEnd w:id="72"/>
    <w:bookmarkEnd w:id="73"/>
    <w:bookmarkEnd w:id="74"/>
    <w:bookmarkEnd w:id="75"/>
    <w:bookmarkEnd w:id="76"/>
    <w:bookmarkEnd w:id="77"/>
    <w:bookmarkEnd w:id="78"/>
    <w:p>
      <w:pPr>
        <w:pStyle w:val="6"/>
        <w:rPr>
          <w:rFonts w:hint="eastAsia" w:ascii="仿宋_GB2312" w:hAnsi="仿宋_GB2312" w:eastAsia="仿宋_GB2312" w:cs="仿宋_GB2312"/>
          <w:color w:val="auto"/>
          <w:sz w:val="28"/>
          <w:szCs w:val="28"/>
          <w:highlight w:val="none"/>
        </w:rPr>
      </w:pPr>
      <w:bookmarkStart w:id="80" w:name="_Toc91752249"/>
      <w:bookmarkStart w:id="81" w:name="_Toc16068"/>
      <w:bookmarkStart w:id="82" w:name="_Toc118625470"/>
      <w:bookmarkStart w:id="83" w:name="_Toc88661425"/>
      <w:r>
        <w:rPr>
          <w:rFonts w:hint="eastAsia" w:ascii="仿宋_GB2312" w:hAnsi="仿宋_GB2312" w:eastAsia="仿宋_GB2312" w:cs="仿宋_GB2312"/>
          <w:color w:val="auto"/>
          <w:sz w:val="28"/>
          <w:szCs w:val="28"/>
          <w:highlight w:val="none"/>
        </w:rPr>
        <w:t>(一）开标一览表</w:t>
      </w:r>
      <w:bookmarkEnd w:id="80"/>
      <w:bookmarkEnd w:id="81"/>
      <w:bookmarkEnd w:id="82"/>
    </w:p>
    <w:tbl>
      <w:tblPr>
        <w:tblStyle w:val="25"/>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9"/>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2299" w:type="dxa"/>
            <w:tcBorders>
              <w:top w:val="single" w:color="auto" w:sz="12" w:space="0"/>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投标人名称</w:t>
            </w:r>
          </w:p>
        </w:tc>
        <w:tc>
          <w:tcPr>
            <w:tcW w:w="7075" w:type="dxa"/>
            <w:tcBorders>
              <w:top w:val="single" w:color="auto" w:sz="12" w:space="0"/>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编号</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投标总报价</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（人民币）</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大写：</w:t>
            </w:r>
            <w:r>
              <w:rPr>
                <w:rFonts w:hint="eastAsia" w:ascii="仿宋_GB2312" w:hAnsi="仿宋_GB2312" w:eastAsia="仿宋_GB2312" w:cs="仿宋_GB2312"/>
                <w:color w:val="auto"/>
                <w:sz w:val="28"/>
                <w:szCs w:val="28"/>
                <w:highlight w:val="none"/>
                <w:u w:color="000000"/>
              </w:rPr>
              <w:t xml:space="preserve">                      </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小写：</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交货期</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交货地点</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99" w:type="dxa"/>
            <w:tcBorders>
              <w:left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质保期</w:t>
            </w:r>
          </w:p>
        </w:tc>
        <w:tc>
          <w:tcPr>
            <w:tcW w:w="7075" w:type="dxa"/>
            <w:tcBorders>
              <w:right w:val="single" w:color="auto" w:sz="12" w:space="0"/>
            </w:tcBorders>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2299" w:type="dxa"/>
            <w:tcBorders>
              <w:left w:val="single" w:color="auto" w:sz="12" w:space="0"/>
              <w:bottom w:val="single" w:color="auto" w:sz="12" w:space="0"/>
            </w:tcBorders>
            <w:vAlign w:val="center"/>
          </w:tcPr>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投标声明</w:t>
            </w:r>
          </w:p>
        </w:tc>
        <w:tc>
          <w:tcPr>
            <w:tcW w:w="7075" w:type="dxa"/>
            <w:tcBorders>
              <w:bottom w:val="single" w:color="auto" w:sz="12" w:space="0"/>
              <w:right w:val="single" w:color="auto" w:sz="12" w:space="0"/>
            </w:tcBorders>
            <w:vAlign w:val="center"/>
          </w:tcPr>
          <w:p>
            <w:pPr>
              <w:rPr>
                <w:rFonts w:hint="eastAsia" w:ascii="仿宋_GB2312" w:hAnsi="仿宋_GB2312" w:eastAsia="仿宋_GB2312" w:cs="仿宋_GB2312"/>
                <w:color w:val="auto"/>
                <w:sz w:val="28"/>
                <w:szCs w:val="28"/>
                <w:highlight w:val="none"/>
              </w:rPr>
            </w:pPr>
          </w:p>
        </w:tc>
      </w:tr>
    </w:tbl>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注：开标一览表除在投标文件中体现外，应另附一份单独密封在信封中，以便开标大会唱标使用，其内容应与投标文件中的开标一览表内容一致。</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u w:color="000000"/>
        </w:rPr>
        <w:tab/>
      </w:r>
      <w:r>
        <w:rPr>
          <w:rFonts w:hint="eastAsia" w:ascii="仿宋_GB2312" w:hAnsi="仿宋_GB2312" w:eastAsia="仿宋_GB2312" w:cs="仿宋_GB2312"/>
          <w:color w:val="auto"/>
          <w:sz w:val="28"/>
          <w:szCs w:val="28"/>
          <w:highlight w:val="none"/>
        </w:rPr>
        <w:t>（盖单位公章）</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法定代表人（单位负责人）或其委托代理人：</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（签字或盖章）</w:t>
      </w:r>
    </w:p>
    <w:p>
      <w:pP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日</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注1：报出总价，还要将分项报价另表报出；</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注2</w:t>
      </w:r>
      <w:bookmarkStart w:id="84" w:name="OLE_LINK2"/>
      <w:r>
        <w:rPr>
          <w:rFonts w:hint="eastAsia" w:ascii="仿宋_GB2312" w:hAnsi="仿宋_GB2312" w:eastAsia="仿宋_GB2312" w:cs="仿宋_GB2312"/>
          <w:color w:val="auto"/>
          <w:sz w:val="28"/>
          <w:szCs w:val="28"/>
          <w:highlight w:val="none"/>
        </w:rPr>
        <w:t>：此表应按投标人须知的规定单独密封、标记、提交。</w:t>
      </w:r>
      <w:bookmarkEnd w:id="84"/>
    </w:p>
    <w:p>
      <w:pPr>
        <w:rPr>
          <w:rFonts w:hint="eastAsia" w:ascii="仿宋_GB2312" w:hAnsi="仿宋_GB2312" w:eastAsia="仿宋_GB2312" w:cs="仿宋_GB2312"/>
          <w:color w:val="auto"/>
          <w:sz w:val="28"/>
          <w:szCs w:val="28"/>
          <w:highlight w:val="none"/>
        </w:rPr>
        <w:sectPr>
          <w:footerReference r:id="rId4" w:type="default"/>
          <w:pgSz w:w="12240" w:h="15840"/>
          <w:pgMar w:top="1418" w:right="1418" w:bottom="1418" w:left="1418" w:header="720" w:footer="720" w:gutter="0"/>
          <w:cols w:space="720" w:num="1"/>
          <w:docGrid w:linePitch="285" w:charSpace="0"/>
        </w:sectPr>
      </w:pPr>
    </w:p>
    <w:p>
      <w:pPr>
        <w:pStyle w:val="6"/>
        <w:keepNext/>
        <w:keepLines/>
        <w:pageBreakBefore w:val="0"/>
        <w:widowControl w:val="0"/>
        <w:kinsoku/>
        <w:wordWrap/>
        <w:overflowPunct/>
        <w:topLinePunct w:val="0"/>
        <w:autoSpaceDE/>
        <w:autoSpaceDN/>
        <w:bidi w:val="0"/>
        <w:adjustRightInd/>
        <w:snapToGrid/>
        <w:spacing w:before="0" w:after="0" w:line="280" w:lineRule="exact"/>
        <w:textAlignment w:val="auto"/>
        <w:rPr>
          <w:rFonts w:hint="eastAsia" w:ascii="仿宋_GB2312" w:hAnsi="仿宋_GB2312" w:eastAsia="仿宋_GB2312" w:cs="仿宋_GB2312"/>
          <w:color w:val="auto"/>
          <w:sz w:val="28"/>
          <w:szCs w:val="28"/>
          <w:highlight w:val="none"/>
        </w:rPr>
      </w:pPr>
      <w:bookmarkStart w:id="85" w:name="_Toc118625471"/>
      <w:bookmarkStart w:id="86" w:name="_Toc91752250"/>
      <w:bookmarkStart w:id="87" w:name="_Toc14558"/>
      <w:r>
        <w:rPr>
          <w:rFonts w:hint="eastAsia" w:ascii="仿宋_GB2312" w:hAnsi="仿宋_GB2312" w:eastAsia="仿宋_GB2312" w:cs="仿宋_GB2312"/>
          <w:color w:val="auto"/>
          <w:sz w:val="28"/>
          <w:szCs w:val="28"/>
          <w:highlight w:val="none"/>
        </w:rPr>
        <w:t>（二）分项报价表</w:t>
      </w:r>
      <w:bookmarkEnd w:id="85"/>
      <w:bookmarkEnd w:id="86"/>
      <w:bookmarkEnd w:id="87"/>
    </w:p>
    <w:tbl>
      <w:tblPr>
        <w:tblStyle w:val="25"/>
        <w:tblW w:w="13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81"/>
        <w:gridCol w:w="1092"/>
        <w:gridCol w:w="1017"/>
        <w:gridCol w:w="1628"/>
        <w:gridCol w:w="1634"/>
        <w:gridCol w:w="1623"/>
        <w:gridCol w:w="164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分项名称</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规格型号</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单价（元）</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合价（元）</w:t>
            </w: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生产厂家</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p>
        </w:tc>
        <w:tc>
          <w:tcPr>
            <w:tcW w:w="10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323"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投标总价（元）</w:t>
            </w:r>
          </w:p>
        </w:tc>
        <w:tc>
          <w:tcPr>
            <w:tcW w:w="450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注1：各分项费用包含产品设计、生产制造、运输、技术服务、质保等全部价格（含税）；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注2：在</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范围已明确的投标人供货范围内所应包括的，但设备的分项价格并未详细列出的设备，均已包括在总价中；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注3：表格长度根据需要自行调整，表中所列内容为必须填写项目，各投标人可根据自身情况增加内容；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480" w:firstLineChars="1600"/>
        <w:textAlignment w:val="auto"/>
        <w:rPr>
          <w:rFonts w:hint="eastAsia" w:ascii="仿宋_GB2312" w:hAnsi="仿宋_GB2312" w:eastAsia="仿宋_GB2312" w:cs="仿宋_GB2312"/>
          <w:color w:val="auto"/>
          <w:sz w:val="28"/>
          <w:szCs w:val="28"/>
          <w:highlight w:val="none"/>
        </w:rPr>
      </w:pPr>
      <w:bookmarkStart w:id="88" w:name="_Toc15845167"/>
      <w:bookmarkStart w:id="89" w:name="_Toc91752251"/>
      <w:bookmarkStart w:id="90" w:name="_Toc80186717"/>
      <w:r>
        <w:rPr>
          <w:rFonts w:hint="eastAsia" w:ascii="仿宋_GB2312" w:hAnsi="仿宋_GB2312" w:eastAsia="仿宋_GB2312" w:cs="仿宋_GB2312"/>
          <w:color w:val="auto"/>
          <w:sz w:val="28"/>
          <w:szCs w:val="28"/>
          <w:highlight w:val="none"/>
        </w:rPr>
        <w:t>投 标 人：</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u w:color="000000"/>
        </w:rPr>
        <w:tab/>
      </w:r>
      <w:r>
        <w:rPr>
          <w:rFonts w:hint="eastAsia" w:ascii="仿宋_GB2312" w:hAnsi="仿宋_GB2312" w:eastAsia="仿宋_GB2312" w:cs="仿宋_GB2312"/>
          <w:color w:val="auto"/>
          <w:sz w:val="28"/>
          <w:szCs w:val="28"/>
          <w:highlight w:val="none"/>
        </w:rPr>
        <w:t>（盖单位公章）</w:t>
      </w:r>
    </w:p>
    <w:p>
      <w:pPr>
        <w:keepNext w:val="0"/>
        <w:keepLines w:val="0"/>
        <w:pageBreakBefore w:val="0"/>
        <w:widowControl w:val="0"/>
        <w:kinsoku/>
        <w:wordWrap/>
        <w:overflowPunct/>
        <w:topLinePunct w:val="0"/>
        <w:autoSpaceDE/>
        <w:autoSpaceDN/>
        <w:bidi w:val="0"/>
        <w:adjustRightInd/>
        <w:snapToGrid/>
        <w:spacing w:line="400" w:lineRule="exact"/>
        <w:ind w:left="8400" w:hanging="8400" w:hangingChars="30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法定代表人（单位负责人）或其委托代理人：</w:t>
      </w:r>
      <w:r>
        <w:rPr>
          <w:rFonts w:hint="eastAsia" w:ascii="仿宋_GB2312" w:hAnsi="仿宋_GB2312" w:eastAsia="仿宋_GB2312" w:cs="仿宋_GB2312"/>
          <w:color w:val="auto"/>
          <w:sz w:val="28"/>
          <w:szCs w:val="28"/>
          <w:highlight w:val="none"/>
          <w:u w:val="single" w:color="000000"/>
        </w:rPr>
        <w:t xml:space="preserve">                                  </w:t>
      </w:r>
      <w:r>
        <w:rPr>
          <w:rFonts w:hint="eastAsia" w:ascii="仿宋_GB2312" w:hAnsi="仿宋_GB2312" w:eastAsia="仿宋_GB2312" w:cs="仿宋_GB2312"/>
          <w:color w:val="auto"/>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u w:color="000000"/>
          <w:lang w:val="en-US" w:eastAsia="zh-CN"/>
        </w:rPr>
        <w:t xml:space="preserve">                               </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color="000000"/>
        </w:rPr>
        <w:t xml:space="preserve">            </w:t>
      </w:r>
      <w:r>
        <w:rPr>
          <w:rFonts w:hint="eastAsia" w:ascii="仿宋_GB2312" w:hAnsi="仿宋_GB2312" w:eastAsia="仿宋_GB2312" w:cs="仿宋_GB2312"/>
          <w:color w:val="auto"/>
          <w:sz w:val="28"/>
          <w:szCs w:val="28"/>
          <w:highlight w:val="none"/>
        </w:rPr>
        <w:t>日</w:t>
      </w:r>
      <w:bookmarkEnd w:id="7"/>
      <w:bookmarkEnd w:id="8"/>
      <w:bookmarkEnd w:id="9"/>
      <w:bookmarkEnd w:id="10"/>
      <w:bookmarkEnd w:id="11"/>
      <w:bookmarkEnd w:id="12"/>
      <w:bookmarkEnd w:id="83"/>
      <w:bookmarkEnd w:id="88"/>
      <w:bookmarkEnd w:id="89"/>
      <w:bookmarkEnd w:id="90"/>
    </w:p>
    <w:p>
      <w:pPr>
        <w:pStyle w:val="50"/>
        <w:rPr>
          <w:rFonts w:hint="eastAsia" w:ascii="黑体" w:hAnsi="黑体" w:eastAsia="黑体" w:cs="黑体"/>
          <w:color w:val="auto"/>
          <w:sz w:val="32"/>
          <w:szCs w:val="32"/>
          <w:highlight w:val="none"/>
        </w:rPr>
      </w:pPr>
      <w:bookmarkStart w:id="91" w:name="_Toc88661429"/>
      <w:r>
        <w:rPr>
          <w:rFonts w:hint="eastAsia" w:ascii="黑体" w:hAnsi="黑体" w:eastAsia="黑体" w:cs="黑体"/>
          <w:color w:val="auto"/>
          <w:sz w:val="32"/>
          <w:szCs w:val="32"/>
          <w:highlight w:val="none"/>
        </w:rPr>
        <w:t>六、业绩</w:t>
      </w:r>
      <w:bookmarkEnd w:id="91"/>
    </w:p>
    <w:p>
      <w:pPr>
        <w:pStyle w:val="4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有效业绩汇总表</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投标人名称：_____________ </w:t>
      </w:r>
    </w:p>
    <w:tbl>
      <w:tblPr>
        <w:tblStyle w:val="25"/>
        <w:tblW w:w="14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5"/>
        <w:gridCol w:w="1335"/>
        <w:gridCol w:w="1750"/>
        <w:gridCol w:w="1260"/>
        <w:gridCol w:w="1260"/>
        <w:gridCol w:w="1440"/>
        <w:gridCol w:w="2160"/>
        <w:gridCol w:w="1440"/>
        <w:gridCol w:w="1309"/>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6" w:hRule="atLeast"/>
          <w:jc w:val="center"/>
        </w:trPr>
        <w:tc>
          <w:tcPr>
            <w:tcW w:w="735"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合同编号</w:t>
            </w:r>
          </w:p>
        </w:tc>
        <w:tc>
          <w:tcPr>
            <w:tcW w:w="175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规格型号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供货数量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（台）</w:t>
            </w:r>
          </w:p>
        </w:tc>
        <w:tc>
          <w:tcPr>
            <w:tcW w:w="14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供货金额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（万元）</w:t>
            </w:r>
          </w:p>
        </w:tc>
        <w:tc>
          <w:tcPr>
            <w:tcW w:w="216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买方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名称</w:t>
            </w:r>
          </w:p>
        </w:tc>
        <w:tc>
          <w:tcPr>
            <w:tcW w:w="1440"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买方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w:t>
            </w:r>
          </w:p>
        </w:tc>
        <w:tc>
          <w:tcPr>
            <w:tcW w:w="130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电话</w:t>
            </w:r>
          </w:p>
        </w:tc>
        <w:tc>
          <w:tcPr>
            <w:tcW w:w="2111"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合同/订单、发票、关单在</w:t>
            </w: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3"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rPr>
                <w:rFonts w:hint="eastAsia" w:ascii="仿宋_GB2312" w:hAnsi="仿宋_GB2312" w:eastAsia="仿宋_GB2312" w:cs="仿宋_GB2312"/>
                <w:color w:val="auto"/>
                <w:sz w:val="28"/>
                <w:szCs w:val="28"/>
                <w:highlight w:val="none"/>
              </w:rPr>
            </w:pP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735" w:type="dxa"/>
            <w:vAlign w:val="center"/>
          </w:tcPr>
          <w:p>
            <w:pPr>
              <w:rPr>
                <w:rFonts w:hint="eastAsia" w:ascii="仿宋_GB2312" w:hAnsi="仿宋_GB2312" w:eastAsia="仿宋_GB2312" w:cs="仿宋_GB2312"/>
                <w:color w:val="auto"/>
                <w:sz w:val="28"/>
                <w:szCs w:val="28"/>
                <w:highlight w:val="no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dstrike/>
                <w:color w:val="auto"/>
                <w:sz w:val="28"/>
                <w:szCs w:val="28"/>
                <w:highlight w:val="none"/>
              </w:rPr>
            </w:pPr>
            <w:r>
              <w:rPr>
                <w:rFonts w:hint="eastAsia" w:ascii="仿宋_GB2312" w:hAnsi="仿宋_GB2312" w:eastAsia="仿宋_GB2312" w:cs="仿宋_GB2312"/>
                <w:color w:val="auto"/>
                <w:sz w:val="28"/>
                <w:szCs w:val="28"/>
                <w:highlight w:val="none"/>
              </w:rPr>
              <w:t>供货金额总计</w:t>
            </w:r>
          </w:p>
        </w:tc>
        <w:tc>
          <w:tcPr>
            <w:tcW w:w="1750" w:type="dxa"/>
          </w:tcPr>
          <w:p>
            <w:pPr>
              <w:rPr>
                <w:rFonts w:hint="eastAsia" w:ascii="仿宋_GB2312" w:hAnsi="仿宋_GB2312" w:eastAsia="仿宋_GB2312" w:cs="仿宋_GB2312"/>
                <w:color w:val="auto"/>
                <w:sz w:val="28"/>
                <w:szCs w:val="28"/>
                <w:highlight w:val="none"/>
              </w:rPr>
            </w:pPr>
          </w:p>
        </w:tc>
        <w:tc>
          <w:tcPr>
            <w:tcW w:w="1260" w:type="dxa"/>
            <w:vAlign w:val="center"/>
          </w:tcPr>
          <w:p>
            <w:pPr>
              <w:rPr>
                <w:rFonts w:hint="eastAsia" w:ascii="仿宋_GB2312" w:hAnsi="仿宋_GB2312" w:eastAsia="仿宋_GB2312" w:cs="仿宋_GB2312"/>
                <w:color w:val="auto"/>
                <w:sz w:val="28"/>
                <w:szCs w:val="28"/>
                <w:highlight w:val="none"/>
              </w:rPr>
            </w:pPr>
          </w:p>
        </w:tc>
        <w:tc>
          <w:tcPr>
            <w:tcW w:w="1260" w:type="dxa"/>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2160" w:type="dxa"/>
            <w:vAlign w:val="center"/>
          </w:tcPr>
          <w:p>
            <w:pPr>
              <w:rPr>
                <w:rFonts w:hint="eastAsia" w:ascii="仿宋_GB2312" w:hAnsi="仿宋_GB2312" w:eastAsia="仿宋_GB2312" w:cs="仿宋_GB2312"/>
                <w:color w:val="auto"/>
                <w:sz w:val="28"/>
                <w:szCs w:val="28"/>
                <w:highlight w:val="none"/>
              </w:rPr>
            </w:pPr>
          </w:p>
        </w:tc>
        <w:tc>
          <w:tcPr>
            <w:tcW w:w="1440" w:type="dxa"/>
            <w:vAlign w:val="center"/>
          </w:tcPr>
          <w:p>
            <w:pPr>
              <w:rPr>
                <w:rFonts w:hint="eastAsia" w:ascii="仿宋_GB2312" w:hAnsi="仿宋_GB2312" w:eastAsia="仿宋_GB2312" w:cs="仿宋_GB2312"/>
                <w:color w:val="auto"/>
                <w:sz w:val="28"/>
                <w:szCs w:val="28"/>
                <w:highlight w:val="none"/>
              </w:rPr>
            </w:pPr>
          </w:p>
        </w:tc>
        <w:tc>
          <w:tcPr>
            <w:tcW w:w="1309" w:type="dxa"/>
          </w:tcPr>
          <w:p>
            <w:pPr>
              <w:rPr>
                <w:rFonts w:hint="eastAsia" w:ascii="仿宋_GB2312" w:hAnsi="仿宋_GB2312" w:eastAsia="仿宋_GB2312" w:cs="仿宋_GB2312"/>
                <w:color w:val="auto"/>
                <w:sz w:val="28"/>
                <w:szCs w:val="28"/>
                <w:highlight w:val="none"/>
              </w:rPr>
            </w:pPr>
          </w:p>
        </w:tc>
        <w:tc>
          <w:tcPr>
            <w:tcW w:w="2111" w:type="dxa"/>
            <w:vAlign w:val="center"/>
          </w:tcPr>
          <w:p>
            <w:pPr>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 1.投标人应在本表后按顺序附相关证明材料。应附有效发票（金额以发票为准）及对应有效合同。销售明细表、有效发票和对应有效合同应加盖公章。业绩计算日期以发票时间为准。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 业绩证明材料存在任何弄虚作假行为（包括不属实行为），其投标将被否决。</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rPr>
        <w:sectPr>
          <w:headerReference r:id="rId5" w:type="default"/>
          <w:pgSz w:w="16839" w:h="11907" w:orient="landscape"/>
          <w:pgMar w:top="1474" w:right="1474" w:bottom="1474" w:left="1531" w:header="720" w:footer="720" w:gutter="397"/>
          <w:cols w:space="720" w:num="1"/>
          <w:docGrid w:linePitch="286" w:charSpace="0"/>
        </w:sectPr>
      </w:pPr>
      <w:r>
        <w:rPr>
          <w:rFonts w:hint="eastAsia" w:ascii="仿宋_GB2312" w:hAnsi="仿宋_GB2312" w:eastAsia="仿宋_GB2312" w:cs="仿宋_GB2312"/>
          <w:color w:val="auto"/>
          <w:sz w:val="28"/>
          <w:szCs w:val="28"/>
          <w:highlight w:val="none"/>
        </w:rPr>
        <w:t xml:space="preserve"> </w:t>
      </w:r>
    </w:p>
    <w:p>
      <w:pPr>
        <w:pStyle w:val="50"/>
        <w:rPr>
          <w:rFonts w:hint="eastAsia" w:ascii="黑体" w:hAnsi="黑体" w:eastAsia="黑体" w:cs="黑体"/>
          <w:color w:val="auto"/>
          <w:sz w:val="32"/>
          <w:szCs w:val="32"/>
          <w:highlight w:val="none"/>
        </w:rPr>
      </w:pPr>
      <w:bookmarkStart w:id="92" w:name="_Toc88661432"/>
      <w:r>
        <w:rPr>
          <w:rFonts w:hint="eastAsia" w:ascii="黑体" w:hAnsi="黑体" w:eastAsia="黑体" w:cs="黑体"/>
          <w:color w:val="auto"/>
          <w:sz w:val="32"/>
          <w:szCs w:val="32"/>
          <w:highlight w:val="none"/>
        </w:rPr>
        <w:t>七、投标设备技术性能指标的详细描述</w:t>
      </w:r>
      <w:bookmarkEnd w:id="92"/>
    </w:p>
    <w:p>
      <w:pPr>
        <w:pStyle w:val="5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pStyle w:val="50"/>
        <w:rPr>
          <w:rFonts w:hint="eastAsia" w:ascii="黑体" w:hAnsi="黑体" w:eastAsia="黑体" w:cs="黑体"/>
          <w:color w:val="auto"/>
          <w:sz w:val="32"/>
          <w:szCs w:val="32"/>
          <w:highlight w:val="none"/>
        </w:rPr>
      </w:pPr>
      <w:bookmarkStart w:id="93" w:name="_Toc88661434"/>
      <w:r>
        <w:rPr>
          <w:rFonts w:hint="eastAsia" w:ascii="黑体" w:hAnsi="黑体" w:eastAsia="黑体" w:cs="黑体"/>
          <w:color w:val="auto"/>
          <w:sz w:val="32"/>
          <w:szCs w:val="32"/>
          <w:highlight w:val="none"/>
        </w:rPr>
        <w:t>八、质保期服务计划</w:t>
      </w:r>
      <w:bookmarkEnd w:id="93"/>
    </w:p>
    <w:p>
      <w:pPr>
        <w:pStyle w:val="5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94" w:name="_Toc88661435"/>
      <w:r>
        <w:rPr>
          <w:rFonts w:hint="eastAsia" w:ascii="黑体" w:hAnsi="黑体" w:eastAsia="黑体" w:cs="黑体"/>
          <w:color w:val="auto"/>
          <w:sz w:val="32"/>
          <w:szCs w:val="32"/>
          <w:highlight w:val="none"/>
        </w:rPr>
        <w:t>九、其他资料</w:t>
      </w:r>
      <w:bookmarkEnd w:id="94"/>
    </w:p>
    <w:p>
      <w:pPr>
        <w:rPr>
          <w:rFonts w:hint="eastAsia" w:ascii="仿宋_GB2312" w:hAnsi="仿宋_GB2312" w:eastAsia="仿宋_GB2312" w:cs="仿宋_GB2312"/>
          <w:color w:val="auto"/>
          <w:sz w:val="28"/>
          <w:szCs w:val="28"/>
          <w:highlight w:val="none"/>
        </w:rPr>
      </w:pPr>
    </w:p>
    <w:bookmarkEnd w:id="95"/>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FFFFFFFF" w:csb1="00000000"/>
  </w:font>
  <w:font w:name="方正小标宋简体">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rPr>
                              <w:lang w:val="zh-CN"/>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rPr>
                        <w:lang w:val="zh-CN"/>
                      </w:rP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254288"/>
    <w:multiLevelType w:val="singleLevel"/>
    <w:tmpl w:val="1B25428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NDVlYWY2NTlkYTExODUyM2Y4NDk5NDA3YmU1NzAifQ=="/>
  </w:docVars>
  <w:rsids>
    <w:rsidRoot w:val="35AA330A"/>
    <w:rsid w:val="00031BC9"/>
    <w:rsid w:val="00052A18"/>
    <w:rsid w:val="00054337"/>
    <w:rsid w:val="00062FF3"/>
    <w:rsid w:val="0007284B"/>
    <w:rsid w:val="000E65B2"/>
    <w:rsid w:val="00102E65"/>
    <w:rsid w:val="0011304A"/>
    <w:rsid w:val="00125F1C"/>
    <w:rsid w:val="00141421"/>
    <w:rsid w:val="00167C71"/>
    <w:rsid w:val="001763D4"/>
    <w:rsid w:val="001B674D"/>
    <w:rsid w:val="00203AD9"/>
    <w:rsid w:val="00225844"/>
    <w:rsid w:val="00232039"/>
    <w:rsid w:val="00254EBB"/>
    <w:rsid w:val="00281479"/>
    <w:rsid w:val="002928B1"/>
    <w:rsid w:val="002A2899"/>
    <w:rsid w:val="002E56F2"/>
    <w:rsid w:val="002F22AB"/>
    <w:rsid w:val="00320742"/>
    <w:rsid w:val="003375DD"/>
    <w:rsid w:val="003769B4"/>
    <w:rsid w:val="00384D5E"/>
    <w:rsid w:val="00391231"/>
    <w:rsid w:val="003D1DD6"/>
    <w:rsid w:val="003D7CB0"/>
    <w:rsid w:val="004113E4"/>
    <w:rsid w:val="00494C2E"/>
    <w:rsid w:val="004C7687"/>
    <w:rsid w:val="004F4F58"/>
    <w:rsid w:val="00505D5A"/>
    <w:rsid w:val="00550ECE"/>
    <w:rsid w:val="00562220"/>
    <w:rsid w:val="00576B5B"/>
    <w:rsid w:val="0057768A"/>
    <w:rsid w:val="005953C9"/>
    <w:rsid w:val="005B491C"/>
    <w:rsid w:val="006406C0"/>
    <w:rsid w:val="0064483A"/>
    <w:rsid w:val="006C4898"/>
    <w:rsid w:val="006F5BD8"/>
    <w:rsid w:val="00702588"/>
    <w:rsid w:val="0072090E"/>
    <w:rsid w:val="007417BA"/>
    <w:rsid w:val="0075415F"/>
    <w:rsid w:val="00772212"/>
    <w:rsid w:val="007D4E58"/>
    <w:rsid w:val="00820549"/>
    <w:rsid w:val="00826CB7"/>
    <w:rsid w:val="00860184"/>
    <w:rsid w:val="00874700"/>
    <w:rsid w:val="00894D9D"/>
    <w:rsid w:val="008A18B0"/>
    <w:rsid w:val="008C794D"/>
    <w:rsid w:val="00916CD1"/>
    <w:rsid w:val="00925DB5"/>
    <w:rsid w:val="00947776"/>
    <w:rsid w:val="00952960"/>
    <w:rsid w:val="009616D2"/>
    <w:rsid w:val="00993A52"/>
    <w:rsid w:val="009D4872"/>
    <w:rsid w:val="00A172C8"/>
    <w:rsid w:val="00A30361"/>
    <w:rsid w:val="00A37756"/>
    <w:rsid w:val="00A662EF"/>
    <w:rsid w:val="00A71226"/>
    <w:rsid w:val="00A86497"/>
    <w:rsid w:val="00A869F4"/>
    <w:rsid w:val="00AD0CF7"/>
    <w:rsid w:val="00AF1BEE"/>
    <w:rsid w:val="00AF263D"/>
    <w:rsid w:val="00B27B6B"/>
    <w:rsid w:val="00B31498"/>
    <w:rsid w:val="00B52CDC"/>
    <w:rsid w:val="00B540BF"/>
    <w:rsid w:val="00B86B99"/>
    <w:rsid w:val="00B9049B"/>
    <w:rsid w:val="00BA087E"/>
    <w:rsid w:val="00BE1545"/>
    <w:rsid w:val="00C0227C"/>
    <w:rsid w:val="00C14E4C"/>
    <w:rsid w:val="00CB6ED9"/>
    <w:rsid w:val="00CD7518"/>
    <w:rsid w:val="00D64E39"/>
    <w:rsid w:val="00D94CE8"/>
    <w:rsid w:val="00DD2032"/>
    <w:rsid w:val="00DF2318"/>
    <w:rsid w:val="00E0280F"/>
    <w:rsid w:val="00E07CD2"/>
    <w:rsid w:val="00E105A0"/>
    <w:rsid w:val="00E32E33"/>
    <w:rsid w:val="00E420C8"/>
    <w:rsid w:val="00E7759E"/>
    <w:rsid w:val="00E855A5"/>
    <w:rsid w:val="00E95BCA"/>
    <w:rsid w:val="00EA564F"/>
    <w:rsid w:val="00F102E5"/>
    <w:rsid w:val="00F52EAB"/>
    <w:rsid w:val="00FB30BB"/>
    <w:rsid w:val="00FD0B3D"/>
    <w:rsid w:val="00FD24B9"/>
    <w:rsid w:val="00FE6AA1"/>
    <w:rsid w:val="01023089"/>
    <w:rsid w:val="01EC5C3E"/>
    <w:rsid w:val="01FA65AD"/>
    <w:rsid w:val="0236625C"/>
    <w:rsid w:val="02447828"/>
    <w:rsid w:val="02EA5022"/>
    <w:rsid w:val="02F94AB6"/>
    <w:rsid w:val="03406B85"/>
    <w:rsid w:val="03CC06C2"/>
    <w:rsid w:val="03E20360"/>
    <w:rsid w:val="03E72982"/>
    <w:rsid w:val="052B1309"/>
    <w:rsid w:val="05336980"/>
    <w:rsid w:val="05E24561"/>
    <w:rsid w:val="061F7DA2"/>
    <w:rsid w:val="065546FA"/>
    <w:rsid w:val="0662088C"/>
    <w:rsid w:val="068B1EC9"/>
    <w:rsid w:val="06921989"/>
    <w:rsid w:val="070B6B66"/>
    <w:rsid w:val="07B471FE"/>
    <w:rsid w:val="07BE1E2B"/>
    <w:rsid w:val="07E850FA"/>
    <w:rsid w:val="080F3328"/>
    <w:rsid w:val="0825634E"/>
    <w:rsid w:val="083600DE"/>
    <w:rsid w:val="086230FE"/>
    <w:rsid w:val="0869448C"/>
    <w:rsid w:val="089A5D8F"/>
    <w:rsid w:val="08AB4E3F"/>
    <w:rsid w:val="09DA3F01"/>
    <w:rsid w:val="0A116943"/>
    <w:rsid w:val="0A4505E1"/>
    <w:rsid w:val="0A571F11"/>
    <w:rsid w:val="0A6842D0"/>
    <w:rsid w:val="0A740F45"/>
    <w:rsid w:val="0B0E131B"/>
    <w:rsid w:val="0B2C6324"/>
    <w:rsid w:val="0B5118BA"/>
    <w:rsid w:val="0B782CF1"/>
    <w:rsid w:val="0C2445F7"/>
    <w:rsid w:val="0C540FAF"/>
    <w:rsid w:val="0C686809"/>
    <w:rsid w:val="0C8E44C1"/>
    <w:rsid w:val="0CE95B9C"/>
    <w:rsid w:val="0CEF0CD8"/>
    <w:rsid w:val="0CF62067"/>
    <w:rsid w:val="0D0F5332"/>
    <w:rsid w:val="0D1A7CC3"/>
    <w:rsid w:val="0D442DD2"/>
    <w:rsid w:val="0DCD62DE"/>
    <w:rsid w:val="0DE16873"/>
    <w:rsid w:val="0EA33B28"/>
    <w:rsid w:val="0EB45D35"/>
    <w:rsid w:val="0EDD14B6"/>
    <w:rsid w:val="0F523B54"/>
    <w:rsid w:val="0F8971C2"/>
    <w:rsid w:val="0F9E5EB1"/>
    <w:rsid w:val="0FC65D20"/>
    <w:rsid w:val="0FD83CA6"/>
    <w:rsid w:val="0FDA14E9"/>
    <w:rsid w:val="0FF32112"/>
    <w:rsid w:val="100B5E29"/>
    <w:rsid w:val="1014391D"/>
    <w:rsid w:val="10973B61"/>
    <w:rsid w:val="10CD7582"/>
    <w:rsid w:val="1106726E"/>
    <w:rsid w:val="114724C3"/>
    <w:rsid w:val="115455AE"/>
    <w:rsid w:val="118C11EC"/>
    <w:rsid w:val="11B147AE"/>
    <w:rsid w:val="1202325C"/>
    <w:rsid w:val="126B2BAF"/>
    <w:rsid w:val="13156307"/>
    <w:rsid w:val="13894491"/>
    <w:rsid w:val="14FC476C"/>
    <w:rsid w:val="152A6EA6"/>
    <w:rsid w:val="155756B9"/>
    <w:rsid w:val="15853F88"/>
    <w:rsid w:val="15904B5A"/>
    <w:rsid w:val="15C852FF"/>
    <w:rsid w:val="163D2AB4"/>
    <w:rsid w:val="168646D2"/>
    <w:rsid w:val="16A2619A"/>
    <w:rsid w:val="174A659D"/>
    <w:rsid w:val="1783099B"/>
    <w:rsid w:val="179C6E93"/>
    <w:rsid w:val="17F81389"/>
    <w:rsid w:val="18074D45"/>
    <w:rsid w:val="186E51A7"/>
    <w:rsid w:val="18EC27F2"/>
    <w:rsid w:val="18F90F15"/>
    <w:rsid w:val="193006AE"/>
    <w:rsid w:val="19624D39"/>
    <w:rsid w:val="197742B0"/>
    <w:rsid w:val="197B765A"/>
    <w:rsid w:val="1A05179E"/>
    <w:rsid w:val="1A165AF6"/>
    <w:rsid w:val="1A167E05"/>
    <w:rsid w:val="1A540A9E"/>
    <w:rsid w:val="1A583FAF"/>
    <w:rsid w:val="1B327C89"/>
    <w:rsid w:val="1B7E1BA5"/>
    <w:rsid w:val="1BA01B1B"/>
    <w:rsid w:val="1BDE03A7"/>
    <w:rsid w:val="1C12417E"/>
    <w:rsid w:val="1C5F459B"/>
    <w:rsid w:val="1C7836C6"/>
    <w:rsid w:val="1CBD0E7E"/>
    <w:rsid w:val="1CDD6D9F"/>
    <w:rsid w:val="1D17405F"/>
    <w:rsid w:val="1D300C7D"/>
    <w:rsid w:val="1E004AF3"/>
    <w:rsid w:val="1E155675"/>
    <w:rsid w:val="1F405923"/>
    <w:rsid w:val="20702F46"/>
    <w:rsid w:val="20BE2A44"/>
    <w:rsid w:val="20DC2AAE"/>
    <w:rsid w:val="20E459BB"/>
    <w:rsid w:val="215238B8"/>
    <w:rsid w:val="219519F6"/>
    <w:rsid w:val="222B2EB7"/>
    <w:rsid w:val="22612605"/>
    <w:rsid w:val="227A3F06"/>
    <w:rsid w:val="22C33CC8"/>
    <w:rsid w:val="235D2C72"/>
    <w:rsid w:val="23711FEF"/>
    <w:rsid w:val="24044C11"/>
    <w:rsid w:val="241C08B2"/>
    <w:rsid w:val="241E3B87"/>
    <w:rsid w:val="25952D9C"/>
    <w:rsid w:val="259D1045"/>
    <w:rsid w:val="25B1378E"/>
    <w:rsid w:val="25C97EC1"/>
    <w:rsid w:val="25D96AD4"/>
    <w:rsid w:val="25DA20CE"/>
    <w:rsid w:val="26462606"/>
    <w:rsid w:val="265579A6"/>
    <w:rsid w:val="271E423C"/>
    <w:rsid w:val="272445CF"/>
    <w:rsid w:val="27383645"/>
    <w:rsid w:val="27386442"/>
    <w:rsid w:val="2746266C"/>
    <w:rsid w:val="27840E74"/>
    <w:rsid w:val="27FA682A"/>
    <w:rsid w:val="280E7144"/>
    <w:rsid w:val="28356B95"/>
    <w:rsid w:val="28887BBF"/>
    <w:rsid w:val="289B3D96"/>
    <w:rsid w:val="28A32BE0"/>
    <w:rsid w:val="294F692F"/>
    <w:rsid w:val="2950307E"/>
    <w:rsid w:val="29A22F02"/>
    <w:rsid w:val="2A8B2EB6"/>
    <w:rsid w:val="2A9860B3"/>
    <w:rsid w:val="2AA8279A"/>
    <w:rsid w:val="2B5C5E53"/>
    <w:rsid w:val="2B606BD1"/>
    <w:rsid w:val="2B76145F"/>
    <w:rsid w:val="2B8A1EA0"/>
    <w:rsid w:val="2BA65EEB"/>
    <w:rsid w:val="2C02237E"/>
    <w:rsid w:val="2C2550EC"/>
    <w:rsid w:val="2C265C9D"/>
    <w:rsid w:val="2C4E2ECE"/>
    <w:rsid w:val="2C5A7D85"/>
    <w:rsid w:val="2C8D1C48"/>
    <w:rsid w:val="2D593A1B"/>
    <w:rsid w:val="2E2C147D"/>
    <w:rsid w:val="2E56716A"/>
    <w:rsid w:val="2E7F476C"/>
    <w:rsid w:val="2ED41DCE"/>
    <w:rsid w:val="2F432A92"/>
    <w:rsid w:val="2F4405B8"/>
    <w:rsid w:val="2F4464F5"/>
    <w:rsid w:val="307003A6"/>
    <w:rsid w:val="307D5906"/>
    <w:rsid w:val="309D25A1"/>
    <w:rsid w:val="30A05CC2"/>
    <w:rsid w:val="31857392"/>
    <w:rsid w:val="31F36A80"/>
    <w:rsid w:val="32747406"/>
    <w:rsid w:val="33865BC7"/>
    <w:rsid w:val="340B5800"/>
    <w:rsid w:val="34453C2A"/>
    <w:rsid w:val="34644942"/>
    <w:rsid w:val="348F22D5"/>
    <w:rsid w:val="34A2727C"/>
    <w:rsid w:val="34AA5361"/>
    <w:rsid w:val="354517F2"/>
    <w:rsid w:val="35483934"/>
    <w:rsid w:val="35681C06"/>
    <w:rsid w:val="35A95619"/>
    <w:rsid w:val="35AA330A"/>
    <w:rsid w:val="35CF32D1"/>
    <w:rsid w:val="361E1198"/>
    <w:rsid w:val="367D2D2D"/>
    <w:rsid w:val="372C7B13"/>
    <w:rsid w:val="376E6016"/>
    <w:rsid w:val="37F963E3"/>
    <w:rsid w:val="38975BFC"/>
    <w:rsid w:val="38AC0DC8"/>
    <w:rsid w:val="39240439"/>
    <w:rsid w:val="393D67A4"/>
    <w:rsid w:val="3A110B9C"/>
    <w:rsid w:val="3A575643"/>
    <w:rsid w:val="3A655FB2"/>
    <w:rsid w:val="3A887EF3"/>
    <w:rsid w:val="3B4F5EE9"/>
    <w:rsid w:val="3B5CD71B"/>
    <w:rsid w:val="3BC74A4B"/>
    <w:rsid w:val="3BE96102"/>
    <w:rsid w:val="3C08753D"/>
    <w:rsid w:val="3C552056"/>
    <w:rsid w:val="3CB042F7"/>
    <w:rsid w:val="3CBB6F10"/>
    <w:rsid w:val="3CC071D7"/>
    <w:rsid w:val="3CE55879"/>
    <w:rsid w:val="3D4F169A"/>
    <w:rsid w:val="3DA149EE"/>
    <w:rsid w:val="3E3459EA"/>
    <w:rsid w:val="3F912515"/>
    <w:rsid w:val="4037219F"/>
    <w:rsid w:val="4044159B"/>
    <w:rsid w:val="407E5E33"/>
    <w:rsid w:val="40C559FD"/>
    <w:rsid w:val="4101455B"/>
    <w:rsid w:val="41362B33"/>
    <w:rsid w:val="414A5F02"/>
    <w:rsid w:val="415B1EBD"/>
    <w:rsid w:val="421A58D4"/>
    <w:rsid w:val="42274495"/>
    <w:rsid w:val="42B94AEC"/>
    <w:rsid w:val="42CB359E"/>
    <w:rsid w:val="431D7BD8"/>
    <w:rsid w:val="434B5117"/>
    <w:rsid w:val="43EA577A"/>
    <w:rsid w:val="440751EC"/>
    <w:rsid w:val="4442140A"/>
    <w:rsid w:val="4447497A"/>
    <w:rsid w:val="44622B28"/>
    <w:rsid w:val="44950494"/>
    <w:rsid w:val="44A86B2A"/>
    <w:rsid w:val="44D83587"/>
    <w:rsid w:val="44E4041B"/>
    <w:rsid w:val="45594965"/>
    <w:rsid w:val="45FA1D32"/>
    <w:rsid w:val="466A41DE"/>
    <w:rsid w:val="468B5AE6"/>
    <w:rsid w:val="46C91677"/>
    <w:rsid w:val="473C62ED"/>
    <w:rsid w:val="474358CD"/>
    <w:rsid w:val="479B1265"/>
    <w:rsid w:val="47AD15A0"/>
    <w:rsid w:val="481E3A11"/>
    <w:rsid w:val="487806ED"/>
    <w:rsid w:val="48AE6D76"/>
    <w:rsid w:val="48E10B59"/>
    <w:rsid w:val="49155047"/>
    <w:rsid w:val="4917679F"/>
    <w:rsid w:val="4921579A"/>
    <w:rsid w:val="49535B70"/>
    <w:rsid w:val="495869FA"/>
    <w:rsid w:val="49B900C8"/>
    <w:rsid w:val="49E30CA1"/>
    <w:rsid w:val="49EA64D4"/>
    <w:rsid w:val="49ED0800"/>
    <w:rsid w:val="49F60504"/>
    <w:rsid w:val="4A5D6CA6"/>
    <w:rsid w:val="4AE051E1"/>
    <w:rsid w:val="4B014C01"/>
    <w:rsid w:val="4B320132"/>
    <w:rsid w:val="4BC30D8B"/>
    <w:rsid w:val="4BFB1A82"/>
    <w:rsid w:val="4C3860A8"/>
    <w:rsid w:val="4C3A59A7"/>
    <w:rsid w:val="4C3F444C"/>
    <w:rsid w:val="4C523EBC"/>
    <w:rsid w:val="4C9515D8"/>
    <w:rsid w:val="4CD64AED"/>
    <w:rsid w:val="4D9A69A1"/>
    <w:rsid w:val="4DC96A29"/>
    <w:rsid w:val="4DF96CE5"/>
    <w:rsid w:val="4E105DDD"/>
    <w:rsid w:val="4E4F4B57"/>
    <w:rsid w:val="4E94261E"/>
    <w:rsid w:val="4EC5501B"/>
    <w:rsid w:val="4F1D6A04"/>
    <w:rsid w:val="4F4421E2"/>
    <w:rsid w:val="4F5543EF"/>
    <w:rsid w:val="4F7708B8"/>
    <w:rsid w:val="4FFD4EE0"/>
    <w:rsid w:val="5079410E"/>
    <w:rsid w:val="50BB2978"/>
    <w:rsid w:val="50FE0AB7"/>
    <w:rsid w:val="511B493C"/>
    <w:rsid w:val="520C2D5F"/>
    <w:rsid w:val="52C24F95"/>
    <w:rsid w:val="52C8137C"/>
    <w:rsid w:val="538F7666"/>
    <w:rsid w:val="53C4432C"/>
    <w:rsid w:val="545774D1"/>
    <w:rsid w:val="556F1C69"/>
    <w:rsid w:val="558A46C7"/>
    <w:rsid w:val="55A7171D"/>
    <w:rsid w:val="56FD598F"/>
    <w:rsid w:val="571903F8"/>
    <w:rsid w:val="57217DDB"/>
    <w:rsid w:val="572D7A00"/>
    <w:rsid w:val="573D111F"/>
    <w:rsid w:val="57626A49"/>
    <w:rsid w:val="581A61D6"/>
    <w:rsid w:val="58417C07"/>
    <w:rsid w:val="585A4825"/>
    <w:rsid w:val="592306F4"/>
    <w:rsid w:val="594B23BF"/>
    <w:rsid w:val="59AF6DF2"/>
    <w:rsid w:val="5A3317D1"/>
    <w:rsid w:val="5A8A3486"/>
    <w:rsid w:val="5ADA63BA"/>
    <w:rsid w:val="5B47363A"/>
    <w:rsid w:val="5B857E0A"/>
    <w:rsid w:val="5B9C09FD"/>
    <w:rsid w:val="5BE70AC5"/>
    <w:rsid w:val="5C6360B0"/>
    <w:rsid w:val="5CFF599B"/>
    <w:rsid w:val="5D92680F"/>
    <w:rsid w:val="5DBF12C8"/>
    <w:rsid w:val="5E0F44E9"/>
    <w:rsid w:val="5E3C0BD1"/>
    <w:rsid w:val="5EBC38CC"/>
    <w:rsid w:val="5EC24ED2"/>
    <w:rsid w:val="5F6E6E08"/>
    <w:rsid w:val="5F7408C2"/>
    <w:rsid w:val="5FDB670D"/>
    <w:rsid w:val="60E70C20"/>
    <w:rsid w:val="610619ED"/>
    <w:rsid w:val="6106379C"/>
    <w:rsid w:val="614E7FB7"/>
    <w:rsid w:val="61A84853"/>
    <w:rsid w:val="62C3746A"/>
    <w:rsid w:val="63AE1EC8"/>
    <w:rsid w:val="63DC4C88"/>
    <w:rsid w:val="64153CF6"/>
    <w:rsid w:val="641C73EE"/>
    <w:rsid w:val="647A1DAB"/>
    <w:rsid w:val="648E4076"/>
    <w:rsid w:val="64965C47"/>
    <w:rsid w:val="649E018F"/>
    <w:rsid w:val="65046244"/>
    <w:rsid w:val="651D7A9B"/>
    <w:rsid w:val="6554084E"/>
    <w:rsid w:val="659E5D8E"/>
    <w:rsid w:val="663C37BC"/>
    <w:rsid w:val="67101EFA"/>
    <w:rsid w:val="674142E1"/>
    <w:rsid w:val="675863D3"/>
    <w:rsid w:val="6788395D"/>
    <w:rsid w:val="679F2254"/>
    <w:rsid w:val="68155C62"/>
    <w:rsid w:val="687916F5"/>
    <w:rsid w:val="687E529B"/>
    <w:rsid w:val="68EE54D1"/>
    <w:rsid w:val="69D50BB1"/>
    <w:rsid w:val="6A0B5DD7"/>
    <w:rsid w:val="6A38073E"/>
    <w:rsid w:val="6A437716"/>
    <w:rsid w:val="6A826BD8"/>
    <w:rsid w:val="6A8A6C3E"/>
    <w:rsid w:val="6AE14931"/>
    <w:rsid w:val="6AE54422"/>
    <w:rsid w:val="6B060B2C"/>
    <w:rsid w:val="6B076813"/>
    <w:rsid w:val="6C1F3963"/>
    <w:rsid w:val="6C30007B"/>
    <w:rsid w:val="6C42752C"/>
    <w:rsid w:val="6D31661C"/>
    <w:rsid w:val="6DB36A59"/>
    <w:rsid w:val="6DFB3F5C"/>
    <w:rsid w:val="6E2C680B"/>
    <w:rsid w:val="6E610810"/>
    <w:rsid w:val="6E78781E"/>
    <w:rsid w:val="6FC21BFD"/>
    <w:rsid w:val="6FEA3D37"/>
    <w:rsid w:val="6FF31971"/>
    <w:rsid w:val="702F4391"/>
    <w:rsid w:val="70786470"/>
    <w:rsid w:val="70CF515E"/>
    <w:rsid w:val="71367DA0"/>
    <w:rsid w:val="7141612A"/>
    <w:rsid w:val="71754026"/>
    <w:rsid w:val="719B567C"/>
    <w:rsid w:val="720553A9"/>
    <w:rsid w:val="72DA05E4"/>
    <w:rsid w:val="72E256EB"/>
    <w:rsid w:val="732631FB"/>
    <w:rsid w:val="73320420"/>
    <w:rsid w:val="73EC4A73"/>
    <w:rsid w:val="74586CEB"/>
    <w:rsid w:val="745919DD"/>
    <w:rsid w:val="74881B12"/>
    <w:rsid w:val="74B20445"/>
    <w:rsid w:val="74D3178F"/>
    <w:rsid w:val="74D84F98"/>
    <w:rsid w:val="75B0387E"/>
    <w:rsid w:val="75B34B40"/>
    <w:rsid w:val="75EA4FE2"/>
    <w:rsid w:val="76A333E3"/>
    <w:rsid w:val="77275DC2"/>
    <w:rsid w:val="77723607"/>
    <w:rsid w:val="789761A5"/>
    <w:rsid w:val="791D58E1"/>
    <w:rsid w:val="792E51E6"/>
    <w:rsid w:val="79C21DD2"/>
    <w:rsid w:val="79D0016C"/>
    <w:rsid w:val="79DB2CE9"/>
    <w:rsid w:val="7A604E8D"/>
    <w:rsid w:val="7A744AF1"/>
    <w:rsid w:val="7A8E56E9"/>
    <w:rsid w:val="7A903C7E"/>
    <w:rsid w:val="7B655B06"/>
    <w:rsid w:val="7B9D1A0E"/>
    <w:rsid w:val="7BDF0A19"/>
    <w:rsid w:val="7C0B770E"/>
    <w:rsid w:val="7C3C64B5"/>
    <w:rsid w:val="7CC16371"/>
    <w:rsid w:val="7CEC7892"/>
    <w:rsid w:val="7D6438CC"/>
    <w:rsid w:val="7DAB691F"/>
    <w:rsid w:val="7DAE2D99"/>
    <w:rsid w:val="7E057791"/>
    <w:rsid w:val="7E327014"/>
    <w:rsid w:val="7E453FCB"/>
    <w:rsid w:val="7E6B6EDC"/>
    <w:rsid w:val="7E7C2FF9"/>
    <w:rsid w:val="7F343118"/>
    <w:rsid w:val="7FB81CAD"/>
    <w:rsid w:val="7FF64583"/>
    <w:rsid w:val="AE7F385A"/>
    <w:rsid w:val="FF77E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qFormat/>
    <w:uiPriority w:val="9"/>
    <w:pPr>
      <w:keepNext/>
      <w:keepLines/>
      <w:spacing w:before="260" w:after="260" w:line="413" w:lineRule="auto"/>
      <w:outlineLvl w:val="2"/>
    </w:pPr>
    <w:rPr>
      <w:rFonts w:ascii="Cambria" w:hAnsi="Cambria" w:eastAsia="Arial"/>
      <w:b/>
      <w:bCs/>
      <w:sz w:val="32"/>
      <w:szCs w:val="32"/>
    </w:rPr>
  </w:style>
  <w:style w:type="paragraph" w:styleId="8">
    <w:name w:val="heading 4"/>
    <w:basedOn w:val="6"/>
    <w:next w:val="1"/>
    <w:qFormat/>
    <w:uiPriority w:val="0"/>
    <w:pPr>
      <w:spacing w:before="280" w:after="290" w:line="372" w:lineRule="auto"/>
      <w:outlineLvl w:val="3"/>
    </w:pPr>
    <w:rPr>
      <w:rFonts w:eastAsia="Arial"/>
      <w:bCs/>
      <w:sz w:val="28"/>
      <w:szCs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9">
    <w:name w:val="Normal Indent"/>
    <w:basedOn w:val="1"/>
    <w:qFormat/>
    <w:uiPriority w:val="0"/>
    <w:pPr>
      <w:ind w:firstLine="420" w:firstLineChars="200"/>
    </w:pPr>
    <w:rPr>
      <w:rFonts w:ascii="Cambria" w:hAnsi="Cambria" w:eastAsia="Arial"/>
    </w:rPr>
  </w:style>
  <w:style w:type="paragraph" w:styleId="10">
    <w:name w:val="annotation text"/>
    <w:basedOn w:val="1"/>
    <w:qFormat/>
    <w:uiPriority w:val="0"/>
  </w:style>
  <w:style w:type="paragraph" w:styleId="11">
    <w:name w:val="Body Text Indent"/>
    <w:basedOn w:val="1"/>
    <w:qFormat/>
    <w:uiPriority w:val="0"/>
    <w:pPr>
      <w:spacing w:after="120"/>
      <w:ind w:left="420" w:leftChars="200"/>
    </w:pPr>
    <w:rPr>
      <w:rFonts w:ascii="Cambria" w:hAnsi="Cambria"/>
    </w:r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qFormat/>
    <w:uiPriority w:val="0"/>
    <w:pPr>
      <w:tabs>
        <w:tab w:val="center" w:pos="4153"/>
        <w:tab w:val="right" w:pos="8306"/>
      </w:tabs>
      <w:snapToGrid w:val="0"/>
    </w:pPr>
    <w:rPr>
      <w:sz w:val="18"/>
      <w:szCs w:val="18"/>
    </w:rPr>
  </w:style>
  <w:style w:type="paragraph" w:styleId="15">
    <w:name w:val="Body Text First Indent 2"/>
    <w:basedOn w:val="1"/>
    <w:next w:val="1"/>
    <w:unhideWhenUsed/>
    <w:qFormat/>
    <w:uiPriority w:val="99"/>
    <w:pPr>
      <w:ind w:firstLine="420" w:firstLineChars="200"/>
    </w:p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Cambria" w:hAnsi="Cambria"/>
      <w:kern w:val="0"/>
      <w:sz w:val="18"/>
      <w:szCs w:val="18"/>
    </w:rPr>
  </w:style>
  <w:style w:type="paragraph" w:styleId="17">
    <w:name w:val="toc 1"/>
    <w:basedOn w:val="1"/>
    <w:next w:val="1"/>
    <w:qFormat/>
    <w:uiPriority w:val="39"/>
    <w:pPr>
      <w:tabs>
        <w:tab w:val="right" w:leader="dot" w:pos="9020"/>
      </w:tabs>
    </w:pPr>
  </w:style>
  <w:style w:type="paragraph" w:styleId="18">
    <w:name w:val="toc 2"/>
    <w:basedOn w:val="1"/>
    <w:next w:val="1"/>
    <w:qFormat/>
    <w:uiPriority w:val="39"/>
    <w:pPr>
      <w:tabs>
        <w:tab w:val="left" w:pos="1050"/>
        <w:tab w:val="right" w:leader="dot" w:pos="9020"/>
      </w:tabs>
      <w:spacing w:line="300" w:lineRule="auto"/>
      <w:ind w:left="420" w:leftChars="200"/>
    </w:pPr>
  </w:style>
  <w:style w:type="paragraph" w:styleId="19">
    <w:name w:val="Normal (Web)"/>
    <w:basedOn w:val="1"/>
    <w:qFormat/>
    <w:uiPriority w:val="99"/>
    <w:pPr>
      <w:widowControl/>
      <w:spacing w:before="100" w:beforeAutospacing="1" w:after="100" w:afterAutospacing="1"/>
    </w:pPr>
    <w:rPr>
      <w:rFonts w:ascii="Arial" w:hAnsi="Arial" w:cs="Arial"/>
      <w:kern w:val="0"/>
      <w:sz w:val="24"/>
      <w:szCs w:val="24"/>
    </w:rPr>
  </w:style>
  <w:style w:type="paragraph" w:styleId="20">
    <w:name w:val="Title"/>
    <w:basedOn w:val="1"/>
    <w:next w:val="1"/>
    <w:link w:val="61"/>
    <w:qFormat/>
    <w:uiPriority w:val="10"/>
    <w:pPr>
      <w:widowControl/>
      <w:spacing w:before="240" w:after="60"/>
      <w:jc w:val="center"/>
      <w:outlineLvl w:val="0"/>
    </w:pPr>
    <w:rPr>
      <w:rFonts w:ascii="Arial" w:hAnsi="Arial" w:eastAsia="Arial"/>
      <w:b/>
      <w:bCs/>
      <w:kern w:val="0"/>
      <w:sz w:val="32"/>
      <w:szCs w:val="32"/>
    </w:rPr>
  </w:style>
  <w:style w:type="character" w:styleId="22">
    <w:name w:val="page number"/>
    <w:qFormat/>
    <w:uiPriority w:val="0"/>
  </w:style>
  <w:style w:type="character" w:styleId="23">
    <w:name w:val="Hyperlink"/>
    <w:qFormat/>
    <w:uiPriority w:val="99"/>
    <w:rPr>
      <w:color w:val="FF6400"/>
      <w:u w:val="single"/>
    </w:rPr>
  </w:style>
  <w:style w:type="character" w:styleId="24">
    <w:name w:val="annotation reference"/>
    <w:qFormat/>
    <w:uiPriority w:val="0"/>
    <w:rPr>
      <w:sz w:val="21"/>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7">
    <w:name w:val="Table Heading"/>
    <w:basedOn w:val="28"/>
    <w:qFormat/>
    <w:uiPriority w:val="0"/>
    <w:pPr>
      <w:autoSpaceDE/>
      <w:autoSpaceDN/>
      <w:spacing w:line="288" w:lineRule="auto"/>
      <w:jc w:val="center"/>
    </w:pPr>
    <w:rPr>
      <w:rFonts w:ascii="宋体" w:hAnsi="宋体"/>
      <w:b/>
    </w:rPr>
  </w:style>
  <w:style w:type="paragraph" w:customStyle="1" w:styleId="28">
    <w:name w:val="Table Text"/>
    <w:basedOn w:val="1"/>
    <w:qFormat/>
    <w:uiPriority w:val="0"/>
    <w:pPr>
      <w:widowControl/>
      <w:autoSpaceDE w:val="0"/>
      <w:autoSpaceDN w:val="0"/>
      <w:spacing w:before="60" w:after="60"/>
    </w:pPr>
    <w:rPr>
      <w:kern w:val="0"/>
    </w:rPr>
  </w:style>
  <w:style w:type="paragraph" w:customStyle="1" w:styleId="29">
    <w:name w:val="_Style 5"/>
    <w:basedOn w:val="5"/>
    <w:next w:val="1"/>
    <w:unhideWhenUsed/>
    <w:qFormat/>
    <w:uiPriority w:val="39"/>
    <w:pPr>
      <w:widowControl/>
      <w:spacing w:before="240" w:after="0" w:line="259" w:lineRule="auto"/>
      <w:outlineLvl w:val="9"/>
    </w:pPr>
    <w:rPr>
      <w:rFonts w:ascii="等线 Light" w:hAnsi="等线 Light" w:eastAsia="等线 Light"/>
      <w:b w:val="0"/>
      <w:color w:val="2E74B5"/>
      <w:kern w:val="0"/>
      <w:sz w:val="32"/>
      <w:szCs w:val="32"/>
    </w:rPr>
  </w:style>
  <w:style w:type="paragraph" w:styleId="30">
    <w:name w:val="List Paragraph"/>
    <w:basedOn w:val="1"/>
    <w:qFormat/>
    <w:uiPriority w:val="34"/>
    <w:pPr>
      <w:ind w:firstLine="420" w:firstLineChars="200"/>
    </w:pPr>
    <w:rPr>
      <w:rFonts w:ascii="Calibri" w:hAnsi="Calibri"/>
      <w:szCs w:val="22"/>
    </w:rPr>
  </w:style>
  <w:style w:type="paragraph" w:customStyle="1" w:styleId="31">
    <w:name w:val="列出段落1"/>
    <w:basedOn w:val="1"/>
    <w:qFormat/>
    <w:uiPriority w:val="99"/>
    <w:pPr>
      <w:ind w:firstLine="420" w:firstLineChars="200"/>
    </w:pPr>
    <w:rPr>
      <w:rFonts w:ascii="Calibri" w:hAnsi="Calibri" w:cs="Calibri"/>
      <w:szCs w:val="21"/>
    </w:rPr>
  </w:style>
  <w:style w:type="character" w:customStyle="1" w:styleId="32">
    <w:name w:val="NormalCharacter"/>
    <w:qFormat/>
    <w:uiPriority w:val="0"/>
  </w:style>
  <w:style w:type="character" w:customStyle="1" w:styleId="33">
    <w:name w:val="font112"/>
    <w:qFormat/>
    <w:uiPriority w:val="0"/>
    <w:rPr>
      <w:rFonts w:hint="eastAsia" w:ascii="宋体" w:hAnsi="宋体" w:eastAsia="宋体" w:cs="宋体"/>
      <w:color w:val="000000"/>
      <w:sz w:val="22"/>
      <w:szCs w:val="22"/>
      <w:u w:val="none"/>
    </w:rPr>
  </w:style>
  <w:style w:type="character" w:customStyle="1" w:styleId="34">
    <w:name w:val="标题 2 Char Char Char"/>
    <w:qFormat/>
    <w:uiPriority w:val="0"/>
    <w:rPr>
      <w:rFonts w:ascii="Arial" w:hAnsi="Arial" w:eastAsia="黑体"/>
      <w:b/>
      <w:bCs/>
      <w:kern w:val="2"/>
      <w:sz w:val="32"/>
      <w:szCs w:val="32"/>
      <w:lang w:val="en-US" w:eastAsia="zh-CN" w:bidi="ar-SA"/>
    </w:rPr>
  </w:style>
  <w:style w:type="character" w:customStyle="1" w:styleId="35">
    <w:name w:val="font221"/>
    <w:basedOn w:val="21"/>
    <w:qFormat/>
    <w:uiPriority w:val="0"/>
    <w:rPr>
      <w:rFonts w:ascii="仿宋_GB2312" w:eastAsia="仿宋_GB2312" w:cs="仿宋_GB2312"/>
      <w:color w:val="000000"/>
      <w:sz w:val="16"/>
      <w:szCs w:val="16"/>
      <w:u w:val="none"/>
    </w:rPr>
  </w:style>
  <w:style w:type="character" w:customStyle="1" w:styleId="36">
    <w:name w:val="font91"/>
    <w:basedOn w:val="21"/>
    <w:qFormat/>
    <w:uiPriority w:val="0"/>
    <w:rPr>
      <w:rFonts w:hint="eastAsia" w:ascii="宋体" w:hAnsi="宋体" w:eastAsia="宋体" w:cs="宋体"/>
      <w:color w:val="000000"/>
      <w:sz w:val="16"/>
      <w:szCs w:val="16"/>
      <w:u w:val="none"/>
    </w:rPr>
  </w:style>
  <w:style w:type="character" w:customStyle="1" w:styleId="37">
    <w:name w:val="font81"/>
    <w:basedOn w:val="21"/>
    <w:qFormat/>
    <w:uiPriority w:val="0"/>
    <w:rPr>
      <w:rFonts w:hint="eastAsia" w:ascii="宋体" w:hAnsi="宋体" w:eastAsia="宋体" w:cs="宋体"/>
      <w:color w:val="000000"/>
      <w:sz w:val="20"/>
      <w:szCs w:val="20"/>
      <w:u w:val="none"/>
    </w:rPr>
  </w:style>
  <w:style w:type="character" w:customStyle="1" w:styleId="38">
    <w:name w:val="font231"/>
    <w:basedOn w:val="21"/>
    <w:qFormat/>
    <w:uiPriority w:val="0"/>
    <w:rPr>
      <w:rFonts w:ascii="Calibri" w:hAnsi="Calibri" w:cs="Calibri"/>
      <w:color w:val="000000"/>
      <w:sz w:val="16"/>
      <w:szCs w:val="16"/>
      <w:u w:val="none"/>
    </w:rPr>
  </w:style>
  <w:style w:type="character" w:customStyle="1" w:styleId="39">
    <w:name w:val="font241"/>
    <w:basedOn w:val="21"/>
    <w:qFormat/>
    <w:uiPriority w:val="0"/>
    <w:rPr>
      <w:rFonts w:hint="eastAsia" w:ascii="宋体" w:hAnsi="宋体" w:eastAsia="宋体" w:cs="宋体"/>
      <w:color w:val="FF0000"/>
      <w:sz w:val="16"/>
      <w:szCs w:val="16"/>
      <w:u w:val="none"/>
    </w:rPr>
  </w:style>
  <w:style w:type="character" w:customStyle="1" w:styleId="40">
    <w:name w:val="font251"/>
    <w:basedOn w:val="21"/>
    <w:qFormat/>
    <w:uiPriority w:val="0"/>
    <w:rPr>
      <w:rFonts w:hint="eastAsia" w:ascii="宋体" w:hAnsi="宋体" w:eastAsia="宋体" w:cs="宋体"/>
      <w:color w:val="000000"/>
      <w:sz w:val="20"/>
      <w:szCs w:val="20"/>
      <w:u w:val="none"/>
    </w:rPr>
  </w:style>
  <w:style w:type="character" w:customStyle="1" w:styleId="41">
    <w:name w:val="font261"/>
    <w:basedOn w:val="21"/>
    <w:qFormat/>
    <w:uiPriority w:val="0"/>
    <w:rPr>
      <w:rFonts w:hint="eastAsia" w:ascii="宋体" w:hAnsi="宋体" w:eastAsia="宋体" w:cs="宋体"/>
      <w:color w:val="000000"/>
      <w:sz w:val="16"/>
      <w:szCs w:val="16"/>
      <w:u w:val="none"/>
    </w:rPr>
  </w:style>
  <w:style w:type="paragraph" w:customStyle="1" w:styleId="42">
    <w:name w:val="_Style 157"/>
    <w:basedOn w:val="1"/>
    <w:next w:val="30"/>
    <w:qFormat/>
    <w:uiPriority w:val="99"/>
    <w:pPr>
      <w:ind w:firstLine="420" w:firstLineChars="200"/>
    </w:pPr>
    <w:rPr>
      <w:rFonts w:ascii="Calibri" w:hAnsi="Calibri"/>
    </w:rPr>
  </w:style>
  <w:style w:type="paragraph" w:customStyle="1" w:styleId="43">
    <w:name w:val="样式 标题 3 + (中文) 黑体 小四 非加粗 段前: 7.8 磅 段后: 0 磅 行距: 固定值 20 磅"/>
    <w:basedOn w:val="7"/>
    <w:qFormat/>
    <w:uiPriority w:val="0"/>
    <w:pPr>
      <w:autoSpaceDE w:val="0"/>
      <w:autoSpaceDN w:val="0"/>
      <w:spacing w:before="0" w:after="0" w:line="400" w:lineRule="exact"/>
    </w:pPr>
    <w:rPr>
      <w:rFonts w:ascii="Calibri" w:hAnsi="Calibri" w:eastAsia="黑体" w:cs="宋体"/>
      <w:b w:val="0"/>
      <w:bCs w:val="0"/>
      <w:sz w:val="24"/>
      <w:szCs w:val="20"/>
    </w:rPr>
  </w:style>
  <w:style w:type="paragraph" w:customStyle="1" w:styleId="44">
    <w:name w:val="标题2"/>
    <w:basedOn w:val="6"/>
    <w:qFormat/>
    <w:uiPriority w:val="0"/>
    <w:pPr>
      <w:spacing w:beforeLines="50" w:line="440" w:lineRule="exact"/>
      <w:ind w:firstLine="200" w:firstLineChars="200"/>
    </w:pPr>
    <w:rPr>
      <w:rFonts w:ascii="仿宋" w:hAnsi="仿宋" w:eastAsia="仿宋" w:cs="宋体"/>
      <w:sz w:val="24"/>
      <w:szCs w:val="24"/>
    </w:rPr>
  </w:style>
  <w:style w:type="character" w:customStyle="1" w:styleId="45">
    <w:name w:val="Char Char2"/>
    <w:qFormat/>
    <w:uiPriority w:val="0"/>
    <w:rPr>
      <w:rFonts w:ascii="Arial" w:hAnsi="Arial" w:eastAsia="Arial" w:cs="Cambria"/>
      <w:szCs w:val="20"/>
    </w:rPr>
  </w:style>
  <w:style w:type="paragraph" w:customStyle="1" w:styleId="46">
    <w:name w:val="中文正文、"/>
    <w:basedOn w:val="1"/>
    <w:qFormat/>
    <w:uiPriority w:val="0"/>
    <w:pPr>
      <w:ind w:firstLine="420"/>
    </w:pPr>
    <w:rPr>
      <w:szCs w:val="21"/>
    </w:rPr>
  </w:style>
  <w:style w:type="paragraph" w:customStyle="1" w:styleId="47">
    <w:name w:val="投标文件副标题"/>
    <w:basedOn w:val="1"/>
    <w:link w:val="60"/>
    <w:qFormat/>
    <w:uiPriority w:val="0"/>
    <w:rPr>
      <w:sz w:val="30"/>
      <w:szCs w:val="30"/>
    </w:rPr>
  </w:style>
  <w:style w:type="paragraph" w:customStyle="1" w:styleId="48">
    <w:name w:val="表内正文左两列"/>
    <w:basedOn w:val="49"/>
    <w:qFormat/>
    <w:uiPriority w:val="0"/>
    <w:pPr>
      <w:jc w:val="center"/>
    </w:pPr>
  </w:style>
  <w:style w:type="paragraph" w:customStyle="1" w:styleId="49">
    <w:name w:val="表内正文"/>
    <w:basedOn w:val="1"/>
    <w:qFormat/>
    <w:uiPriority w:val="0"/>
    <w:pPr>
      <w:spacing w:line="320" w:lineRule="atLeast"/>
    </w:pPr>
    <w:rPr>
      <w:spacing w:val="2"/>
      <w:szCs w:val="21"/>
    </w:rPr>
  </w:style>
  <w:style w:type="paragraph" w:customStyle="1" w:styleId="50">
    <w:name w:val="投标文件"/>
    <w:basedOn w:val="51"/>
    <w:qFormat/>
    <w:uiPriority w:val="0"/>
    <w:rPr>
      <w:sz w:val="30"/>
    </w:rPr>
  </w:style>
  <w:style w:type="paragraph" w:customStyle="1" w:styleId="51">
    <w:name w:val="章标题"/>
    <w:basedOn w:val="1"/>
    <w:link w:val="59"/>
    <w:qFormat/>
    <w:uiPriority w:val="0"/>
    <w:pPr>
      <w:ind w:left="442"/>
      <w:jc w:val="center"/>
    </w:pPr>
    <w:rPr>
      <w:sz w:val="36"/>
      <w:szCs w:val="36"/>
    </w:rPr>
  </w:style>
  <w:style w:type="paragraph" w:customStyle="1" w:styleId="52">
    <w:name w:val="节标题"/>
    <w:basedOn w:val="1"/>
    <w:qFormat/>
    <w:uiPriority w:val="0"/>
    <w:rPr>
      <w:sz w:val="30"/>
      <w:szCs w:val="30"/>
    </w:rPr>
  </w:style>
  <w:style w:type="paragraph" w:customStyle="1" w:styleId="53">
    <w:name w:val="附件左上标题"/>
    <w:basedOn w:val="1"/>
    <w:qFormat/>
    <w:uiPriority w:val="0"/>
    <w:rPr>
      <w:spacing w:val="2"/>
      <w:sz w:val="24"/>
    </w:rPr>
  </w:style>
  <w:style w:type="paragraph" w:customStyle="1" w:styleId="54">
    <w:name w:val="附件大标题"/>
    <w:basedOn w:val="1"/>
    <w:qFormat/>
    <w:uiPriority w:val="0"/>
    <w:pPr>
      <w:spacing w:before="120" w:after="120"/>
      <w:jc w:val="center"/>
    </w:pPr>
    <w:rPr>
      <w:rFonts w:hAnsi="黑体"/>
      <w:spacing w:val="100"/>
      <w:sz w:val="32"/>
      <w:szCs w:val="32"/>
    </w:rPr>
  </w:style>
  <w:style w:type="paragraph" w:customStyle="1" w:styleId="55">
    <w:name w:val="表标题"/>
    <w:basedOn w:val="1"/>
    <w:qFormat/>
    <w:uiPriority w:val="0"/>
    <w:rPr>
      <w:bCs/>
      <w:sz w:val="28"/>
      <w:szCs w:val="28"/>
    </w:rPr>
  </w:style>
  <w:style w:type="paragraph" w:customStyle="1" w:styleId="56">
    <w:name w:val="表内列标题"/>
    <w:basedOn w:val="1"/>
    <w:qFormat/>
    <w:uiPriority w:val="0"/>
    <w:pPr>
      <w:spacing w:line="320" w:lineRule="atLeast"/>
      <w:jc w:val="center"/>
    </w:pPr>
    <w:rPr>
      <w:rFonts w:hAnsi="黑体"/>
      <w:spacing w:val="2"/>
    </w:rPr>
  </w:style>
  <w:style w:type="paragraph" w:customStyle="1" w:styleId="57">
    <w:name w:val="表内左两列正文"/>
    <w:basedOn w:val="49"/>
    <w:qFormat/>
    <w:uiPriority w:val="0"/>
    <w:pPr>
      <w:spacing w:line="320" w:lineRule="exact"/>
      <w:jc w:val="center"/>
    </w:pPr>
    <w:rPr>
      <w:w w:val="99"/>
    </w:rPr>
  </w:style>
  <w:style w:type="paragraph" w:customStyle="1" w:styleId="58">
    <w:name w:val="段标题"/>
    <w:basedOn w:val="1"/>
    <w:qFormat/>
    <w:uiPriority w:val="0"/>
    <w:rPr>
      <w:sz w:val="28"/>
      <w:szCs w:val="28"/>
    </w:rPr>
  </w:style>
  <w:style w:type="character" w:customStyle="1" w:styleId="59">
    <w:name w:val="章标题 Char"/>
    <w:link w:val="51"/>
    <w:qFormat/>
    <w:uiPriority w:val="0"/>
    <w:rPr>
      <w:sz w:val="36"/>
      <w:szCs w:val="36"/>
    </w:rPr>
  </w:style>
  <w:style w:type="character" w:customStyle="1" w:styleId="60">
    <w:name w:val="投标文件副标题 Char"/>
    <w:link w:val="47"/>
    <w:qFormat/>
    <w:uiPriority w:val="0"/>
    <w:rPr>
      <w:sz w:val="30"/>
      <w:szCs w:val="30"/>
    </w:rPr>
  </w:style>
  <w:style w:type="character" w:customStyle="1" w:styleId="61">
    <w:name w:val="标题 字符"/>
    <w:link w:val="20"/>
    <w:qFormat/>
    <w:uiPriority w:val="10"/>
    <w:rPr>
      <w:rFonts w:ascii="Arial" w:hAnsi="Arial" w:eastAsia="Arial"/>
      <w:b/>
      <w:bCs/>
      <w:kern w:val="0"/>
      <w:sz w:val="32"/>
      <w:szCs w:val="32"/>
    </w:rPr>
  </w:style>
  <w:style w:type="paragraph" w:customStyle="1" w:styleId="62">
    <w:name w:val="标题 11"/>
    <w:basedOn w:val="1"/>
    <w:qFormat/>
    <w:uiPriority w:val="1"/>
    <w:pPr>
      <w:ind w:left="3"/>
      <w:outlineLvl w:val="1"/>
    </w:pPr>
    <w:rPr>
      <w:rFonts w:ascii="微软雅黑" w:hAnsi="微软雅黑" w:eastAsia="微软雅黑"/>
      <w:b/>
      <w:bCs/>
      <w:sz w:val="44"/>
      <w:szCs w:val="44"/>
    </w:rPr>
  </w:style>
  <w:style w:type="paragraph" w:customStyle="1" w:styleId="63">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9527</Words>
  <Characters>9997</Characters>
  <Lines>89</Lines>
  <Paragraphs>25</Paragraphs>
  <TotalTime>8</TotalTime>
  <ScaleCrop>false</ScaleCrop>
  <LinksUpToDate>false</LinksUpToDate>
  <CharactersWithSpaces>11498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2024-07-12T07:48:00Z</dcterms:created>
  <dc:creator>乔辰生</dc:creator>
  <cp:lastModifiedBy>乔辰生</cp:lastModifiedBy>
  <cp:lastPrinted>2023-11-18T00:38:00Z</cp:lastPrinted>
  <dcterms:modified xsi:type="dcterms:W3CDTF">2024-09-12T04:49:59Z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7565994941EE4A8BBFC84ED8C03EE7CB_13</vt:lpwstr>
  </property>
</Properties>
</file>