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陈四楼三期工程临时用地复垦方案编制服务</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w:t>
      </w:r>
      <w:r>
        <w:rPr>
          <w:rFonts w:hint="eastAsia" w:ascii="黑体" w:hAnsi="黑体" w:eastAsia="黑体" w:cs="黑体"/>
          <w:b/>
          <w:sz w:val="32"/>
          <w:highlight w:val="none"/>
        </w:rPr>
        <w:t>月</w:t>
      </w:r>
    </w:p>
    <w:p>
      <w:pPr>
        <w:jc w:val="center"/>
        <w:rPr>
          <w:rFonts w:ascii="宋体" w:hAnsi="宋体"/>
          <w:highlight w:val="none"/>
        </w:rPr>
      </w:pPr>
    </w:p>
    <w:p>
      <w:pPr>
        <w:pStyle w:val="27"/>
        <w:jc w:val="center"/>
        <w:rPr>
          <w:rFonts w:ascii="宋体" w:hAnsi="宋体" w:eastAsia="宋体"/>
          <w:b/>
          <w:color w:val="auto"/>
          <w:kern w:val="2"/>
          <w:sz w:val="44"/>
          <w:szCs w:val="20"/>
          <w:highlight w:val="none"/>
        </w:rPr>
      </w:pPr>
    </w:p>
    <w:p>
      <w:pPr>
        <w:pStyle w:val="27"/>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p>
    <w:bookmarkEnd w:id="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lang w:val="en-US" w:eastAsia="zh-CN"/>
        </w:rPr>
        <w:t xml:space="preserve">第一章 </w:t>
      </w:r>
      <w:bookmarkStart w:id="3" w:name="_Toc24572"/>
      <w:bookmarkStart w:id="4" w:name="_Toc8924"/>
      <w:r>
        <w:rPr>
          <w:rFonts w:hint="eastAsia" w:ascii="方正小标宋简体" w:hAnsi="仿宋_GB2312" w:eastAsia="方正小标宋简体" w:cs="Times New Roman"/>
          <w:b w:val="0"/>
          <w:bCs/>
          <w:color w:val="000000"/>
          <w:szCs w:val="44"/>
          <w:highlight w:val="none"/>
          <w:lang w:val="en-US" w:eastAsia="zh-CN"/>
        </w:rPr>
        <w:t>陈四楼三期工程复垦方案编制服务比选采购公告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bookmarkStart w:id="43" w:name="_GoBack"/>
      <w:r>
        <w:rPr>
          <w:rFonts w:hint="eastAsia" w:ascii="仿宋_GB2312" w:hAnsi="宋体" w:eastAsia="仿宋_GB2312" w:cs="Times New Roman"/>
          <w:color w:val="auto"/>
          <w:kern w:val="2"/>
          <w:sz w:val="32"/>
          <w:szCs w:val="32"/>
          <w:highlight w:val="none"/>
          <w:lang w:val="en-US" w:eastAsia="zh-CN" w:bidi="ar-SA"/>
        </w:rPr>
        <w:t>陈四楼煤矿南翼九采区地面水害区域治理三期工程临时用地土地复垦方案编制服务已具备采购条件，采购人为江苏长江地质勘查院，现对陈四楼煤矿南翼九采区地面水害区域治理三期工程临时用地土地复垦方案编制服务采取公开比选，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bidi="ar-SA"/>
        </w:rPr>
        <w:t>陈四楼三期工程复垦方案编制服务</w:t>
      </w:r>
    </w:p>
    <w:p>
      <w:pPr>
        <w:pStyle w:val="20"/>
        <w:widowControl/>
        <w:shd w:val="clear" w:color="auto" w:fill="FFFFFF"/>
        <w:spacing w:beforeAutospacing="0" w:afterAutospacing="0" w:line="560" w:lineRule="exact"/>
        <w:ind w:firstLine="640" w:firstLineChars="200"/>
        <w:rPr>
          <w:rFonts w:hint="default"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cs="Times New Roman"/>
          <w:snapToGrid w:val="0"/>
          <w:kern w:val="2"/>
          <w:sz w:val="32"/>
          <w:szCs w:val="32"/>
          <w:highlight w:val="none"/>
          <w:lang w:val="en-US" w:eastAsia="zh-CN" w:bidi="ar-SA"/>
        </w:rPr>
        <w:t>河南省商丘市永城市</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3.服务期限：从合同签订之日起90天</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20"/>
        <w:widowControl/>
        <w:shd w:val="clear" w:color="auto" w:fill="FFFFFF"/>
        <w:spacing w:beforeAutospacing="0" w:afterAutospacing="0" w:line="560" w:lineRule="exact"/>
        <w:ind w:firstLine="640" w:firstLineChars="200"/>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5.服务内容：</w:t>
      </w:r>
    </w:p>
    <w:p>
      <w:pPr>
        <w:pStyle w:val="20"/>
        <w:widowControl/>
        <w:shd w:val="clear" w:color="auto" w:fill="FFFFFF"/>
        <w:spacing w:beforeAutospacing="0" w:afterAutospacing="0" w:line="560" w:lineRule="exact"/>
        <w:ind w:firstLine="640" w:firstLineChars="200"/>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乙方负责按照相关自然资源主管部门要求，承担陈四楼煤矿南翼九采区地面区域治理三期工程临时用地范围的土地复垦方案的编制等技术工作，通过专家评审并形取得相应自然资源和规划局临时使用土地的批复。</w:t>
      </w:r>
    </w:p>
    <w:p>
      <w:pPr>
        <w:pStyle w:val="20"/>
        <w:widowControl/>
        <w:shd w:val="clear" w:color="auto" w:fill="FFFFFF"/>
        <w:spacing w:beforeAutospacing="0" w:afterAutospacing="0" w:line="560" w:lineRule="exact"/>
        <w:ind w:firstLine="640" w:firstLineChars="200"/>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（2）乙方负责办理临时用地手续期间与其它第三方的协调等。</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cs="Times New Roman"/>
          <w:b w:val="0"/>
          <w:bCs w:val="0"/>
          <w:snapToGrid w:val="0"/>
          <w:kern w:val="2"/>
          <w:sz w:val="32"/>
          <w:szCs w:val="32"/>
          <w:highlight w:val="none"/>
          <w:lang w:val="en-US" w:eastAsia="zh-CN" w:bidi="ar-SA"/>
        </w:rPr>
        <w:t>6</w:t>
      </w:r>
      <w:r>
        <w:rPr>
          <w:rFonts w:hint="eastAsia" w:ascii="仿宋_GB2312" w:hAnsi="宋体" w:eastAsia="仿宋_GB2312" w:cs="Times New Roman"/>
          <w:b w:val="0"/>
          <w:bCs w:val="0"/>
          <w:snapToGrid w:val="0"/>
          <w:kern w:val="2"/>
          <w:sz w:val="32"/>
          <w:szCs w:val="32"/>
          <w:highlight w:val="none"/>
          <w:lang w:val="en-US" w:eastAsia="zh-Hans" w:bidi="ar-SA"/>
        </w:rPr>
        <w:t>资金来源：</w:t>
      </w:r>
      <w:r>
        <w:rPr>
          <w:rFonts w:hint="eastAsia" w:ascii="仿宋_GB2312" w:hAnsi="宋体" w:eastAsia="仿宋_GB2312" w:cs="Times New Roman"/>
          <w:b w:val="0"/>
          <w:bCs w:val="0"/>
          <w:snapToGrid w:val="0"/>
          <w:kern w:val="2"/>
          <w:sz w:val="32"/>
          <w:szCs w:val="32"/>
          <w:highlight w:val="none"/>
          <w:lang w:val="en-US" w:eastAsia="zh-CN" w:bidi="ar-SA"/>
        </w:rPr>
        <w:t>自</w:t>
      </w:r>
      <w:r>
        <w:rPr>
          <w:rFonts w:hint="eastAsia" w:ascii="仿宋_GB2312" w:hAnsi="宋体" w:eastAsia="仿宋_GB2312"/>
          <w:snapToGrid w:val="0"/>
          <w:kern w:val="2"/>
          <w:sz w:val="32"/>
          <w:szCs w:val="32"/>
          <w:highlight w:val="none"/>
        </w:rPr>
        <w:t>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评标办法</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rPr>
          <w:rFonts w:hint="eastAsia" w:ascii="黑体" w:hAnsi="黑体" w:eastAsia="黑体"/>
          <w:kern w:val="2"/>
          <w:sz w:val="32"/>
          <w:szCs w:val="32"/>
          <w:highlight w:val="none"/>
        </w:rPr>
      </w:pPr>
      <w:r>
        <w:rPr>
          <w:rFonts w:hint="eastAsia" w:ascii="黑体" w:hAnsi="黑体" w:eastAsia="黑体"/>
          <w:kern w:val="2"/>
          <w:sz w:val="32"/>
          <w:szCs w:val="32"/>
          <w:highlight w:val="none"/>
        </w:rPr>
        <w:br w:type="page"/>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20"/>
        <w:widowControl/>
        <w:shd w:val="clear" w:color="auto" w:fill="FFFFFF"/>
        <w:spacing w:beforeAutospacing="0" w:afterAutospacing="0" w:line="560" w:lineRule="exact"/>
        <w:ind w:firstLine="640" w:firstLineChars="200"/>
        <w:jc w:val="both"/>
        <w:rPr>
          <w:rFonts w:hint="default" w:ascii="仿宋_GB2312" w:hAnsi="宋体" w:eastAsia="仿宋_GB2312" w:cs="Times New Roman"/>
          <w:snapToGrid w:val="0"/>
          <w:kern w:val="2"/>
          <w:sz w:val="32"/>
          <w:szCs w:val="32"/>
          <w:highlight w:val="yellow"/>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w:t>
      </w:r>
      <w:r>
        <w:rPr>
          <w:rFonts w:hint="eastAsia" w:ascii="仿宋_GB2312" w:hAnsi="宋体" w:eastAsia="仿宋_GB2312" w:cs="Times New Roman"/>
          <w:snapToGrid w:val="0"/>
          <w:kern w:val="2"/>
          <w:sz w:val="32"/>
          <w:szCs w:val="32"/>
          <w:highlight w:val="none"/>
          <w:lang w:val="en-US" w:eastAsia="zh-CN" w:bidi="ar-SA"/>
        </w:rPr>
        <w:t>，营业执照中要有与本服务相关的经营范围。</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2</w:t>
      </w:r>
      <w:r>
        <w:rPr>
          <w:rFonts w:hint="eastAsia" w:ascii="仿宋_GB2312" w:hAnsi="宋体" w:eastAsia="仿宋_GB2312" w:cs="Times New Roman"/>
          <w:snapToGrid w:val="0"/>
          <w:kern w:val="2"/>
          <w:sz w:val="32"/>
          <w:szCs w:val="32"/>
          <w:highlight w:val="none"/>
          <w:lang w:val="en-US" w:eastAsia="zh-CN" w:bidi="ar-SA"/>
        </w:rPr>
        <w:t>.要有依法纳税的良好记录，财务、资信状况良好，满足履行本项目的需要。</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3.信誉要求：</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3.1投标人未被“国家企业信用信息公示系统”网站（www.gsxt.gov.cn）列入严重违法失信企业名单（需附查验结果）。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.3承诺202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4"/>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4.</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4"/>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5.</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w:t>
      </w:r>
      <w:r>
        <w:rPr>
          <w:rFonts w:hint="eastAsia" w:ascii="仿宋_GB2312" w:hAnsi="宋体" w:eastAsia="仿宋_GB2312" w:cs="仿宋_GB2312"/>
          <w:color w:val="000000"/>
          <w:sz w:val="32"/>
          <w:szCs w:val="32"/>
          <w:highlight w:val="none"/>
          <w:lang w:bidi="ar"/>
        </w:rPr>
        <w:t>送至常州市和电路10号</w:t>
      </w:r>
      <w:r>
        <w:rPr>
          <w:rFonts w:hint="eastAsia" w:ascii="仿宋_GB2312" w:hAnsi="宋体" w:eastAsia="仿宋_GB2312"/>
          <w:sz w:val="32"/>
          <w:szCs w:val="32"/>
          <w:highlight w:val="none"/>
        </w:rPr>
        <w:t>。</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w:t>
      </w:r>
      <w:r>
        <w:rPr>
          <w:rFonts w:hint="eastAsia" w:ascii="仿宋_GB2312" w:hAnsi="宋体" w:eastAsia="仿宋_GB2312" w:cs="仿宋_GB2312"/>
          <w:color w:val="000000"/>
          <w:sz w:val="32"/>
          <w:szCs w:val="32"/>
          <w:highlight w:val="none"/>
          <w:lang w:bidi="ar"/>
        </w:rPr>
        <w:t>2024年</w:t>
      </w:r>
      <w:r>
        <w:rPr>
          <w:rFonts w:hint="eastAsia" w:ascii="仿宋_GB2312" w:hAnsi="宋体" w:eastAsia="仿宋_GB2312" w:cs="仿宋_GB2312"/>
          <w:color w:val="000000"/>
          <w:sz w:val="32"/>
          <w:szCs w:val="32"/>
          <w:highlight w:val="none"/>
          <w:lang w:val="en-US" w:eastAsia="zh-CN" w:bidi="ar"/>
        </w:rPr>
        <w:t>10</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14</w:t>
      </w:r>
      <w:r>
        <w:rPr>
          <w:rFonts w:hint="eastAsia" w:ascii="仿宋_GB2312" w:hAnsi="宋体" w:eastAsia="仿宋_GB2312" w:cs="仿宋_GB2312"/>
          <w:color w:val="000000"/>
          <w:sz w:val="32"/>
          <w:szCs w:val="32"/>
          <w:highlight w:val="none"/>
          <w:lang w:bidi="ar"/>
        </w:rPr>
        <w:t>日</w:t>
      </w:r>
      <w:r>
        <w:rPr>
          <w:rFonts w:hint="eastAsia" w:ascii="仿宋_GB2312" w:hAnsi="宋体" w:eastAsia="仿宋_GB2312" w:cs="仿宋_GB2312"/>
          <w:color w:val="000000"/>
          <w:sz w:val="32"/>
          <w:szCs w:val="32"/>
          <w:highlight w:val="none"/>
          <w:lang w:val="en-US" w:eastAsia="zh-CN" w:bidi="ar"/>
        </w:rPr>
        <w:t>上</w:t>
      </w:r>
      <w:r>
        <w:rPr>
          <w:rFonts w:hint="eastAsia" w:ascii="仿宋_GB2312" w:hAnsi="宋体" w:eastAsia="仿宋_GB2312" w:cs="仿宋_GB2312"/>
          <w:color w:val="000000"/>
          <w:sz w:val="32"/>
          <w:szCs w:val="32"/>
          <w:highlight w:val="none"/>
          <w:lang w:bidi="ar"/>
        </w:rPr>
        <w:t>午</w:t>
      </w:r>
      <w:r>
        <w:rPr>
          <w:rFonts w:hint="eastAsia" w:ascii="仿宋_GB2312" w:hAnsi="宋体" w:eastAsia="仿宋_GB2312" w:cs="仿宋_GB2312"/>
          <w:color w:val="000000"/>
          <w:sz w:val="32"/>
          <w:szCs w:val="32"/>
          <w:highlight w:val="none"/>
          <w:lang w:val="en-US" w:eastAsia="zh-CN" w:bidi="ar"/>
        </w:rPr>
        <w:t>9：</w:t>
      </w:r>
      <w:r>
        <w:rPr>
          <w:rFonts w:hint="eastAsia" w:ascii="仿宋_GB2312" w:hAnsi="宋体" w:eastAsia="仿宋_GB2312" w:cs="仿宋_GB2312"/>
          <w:color w:val="000000"/>
          <w:sz w:val="32"/>
          <w:szCs w:val="32"/>
          <w:highlight w:val="none"/>
          <w:lang w:bidi="ar"/>
        </w:rPr>
        <w:t>00(北京时间)在江苏省常州市天宁区和电路10号三楼会议室开标。</w:t>
      </w:r>
    </w:p>
    <w:p>
      <w:pPr>
        <w:pStyle w:val="20"/>
        <w:widowControl/>
        <w:autoSpaceDN w:val="0"/>
        <w:spacing w:beforeAutospacing="0" w:afterAutospacing="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仿宋_GB2312"/>
          <w:color w:val="000000"/>
          <w:sz w:val="32"/>
          <w:szCs w:val="32"/>
          <w:lang w:bidi="ar"/>
        </w:rPr>
        <w:t>递交地点：常州市和电路10号</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cs="仿宋_GB2312"/>
          <w:color w:val="000000"/>
          <w:sz w:val="32"/>
          <w:szCs w:val="32"/>
          <w:lang w:bidi="ar"/>
        </w:rPr>
        <w:t>常州市和电路10号</w:t>
      </w:r>
      <w:r>
        <w:rPr>
          <w:rFonts w:hint="eastAsia" w:ascii="仿宋_GB2312" w:hAnsi="宋体" w:eastAsia="仿宋_GB2312"/>
          <w:sz w:val="32"/>
          <w:szCs w:val="32"/>
          <w:highlight w:val="none"/>
        </w:rPr>
        <w:t>。</w:t>
      </w:r>
    </w:p>
    <w:p>
      <w:pPr>
        <w:pStyle w:val="9"/>
        <w:spacing w:after="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联系人：乔辰生                电话：13584378541</w:t>
      </w:r>
    </w:p>
    <w:p>
      <w:pPr>
        <w:pStyle w:val="9"/>
        <w:spacing w:after="0" w:line="54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bookmarkEnd w:id="43"/>
    <w:p>
      <w:pPr>
        <w:pStyle w:val="1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总价</w:t>
      </w:r>
      <w:r>
        <w:rPr>
          <w:rFonts w:hint="eastAsia" w:ascii="仿宋_GB2312" w:hAnsi="宋体" w:eastAsia="仿宋_GB2312"/>
          <w:sz w:val="32"/>
          <w:szCs w:val="32"/>
          <w:highlight w:val="none"/>
        </w:rPr>
        <w:t>，最高投标限价为</w:t>
      </w:r>
      <w:r>
        <w:rPr>
          <w:rFonts w:hint="eastAsia" w:ascii="仿宋_GB2312" w:hAnsi="宋体" w:eastAsia="仿宋_GB2312" w:cs="Times New Roman"/>
          <w:b w:val="0"/>
          <w:bCs w:val="0"/>
          <w:snapToGrid w:val="0"/>
          <w:kern w:val="2"/>
          <w:sz w:val="32"/>
          <w:szCs w:val="32"/>
          <w:highlight w:val="none"/>
          <w:lang w:val="en-US" w:eastAsia="zh-CN" w:bidi="ar-SA"/>
        </w:rPr>
        <w:t>18万</w:t>
      </w:r>
      <w:r>
        <w:rPr>
          <w:rFonts w:hint="eastAsia" w:ascii="仿宋_GB2312" w:hAnsi="宋体" w:eastAsia="仿宋_GB2312"/>
          <w:sz w:val="32"/>
          <w:szCs w:val="32"/>
          <w:highlight w:val="none"/>
        </w:rPr>
        <w:t xml:space="preserve">元，一旦中标，报价不予调整。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before="0" w:after="0" w:line="660" w:lineRule="exact"/>
        <w:jc w:val="center"/>
        <w:rPr>
          <w:rFonts w:ascii="宋体" w:hAnsi="宋体"/>
          <w:highlight w:val="none"/>
        </w:rPr>
      </w:pPr>
      <w:r>
        <w:rPr>
          <w:rFonts w:ascii="宋体" w:hAnsi="宋体"/>
          <w:highlight w:val="none"/>
        </w:rPr>
        <w:br w:type="page"/>
      </w:r>
      <w:bookmarkStart w:id="9" w:name="_Toc135998992"/>
      <w:bookmarkStart w:id="10" w:name="_Toc161767419"/>
    </w:p>
    <w:p>
      <w:pPr>
        <w:pStyle w:val="3"/>
        <w:spacing w:before="0" w:after="0" w:line="660" w:lineRule="exact"/>
        <w:jc w:val="center"/>
        <w:rPr>
          <w:rFonts w:ascii="方正小标宋简体" w:hAnsi="仿宋_GB2312" w:eastAsia="方正小标宋简体"/>
          <w:b w:val="0"/>
          <w:bCs/>
          <w:color w:val="000000"/>
          <w:szCs w:val="44"/>
        </w:rPr>
      </w:pPr>
      <w:bookmarkStart w:id="11" w:name="_Toc26124"/>
      <w:r>
        <w:rPr>
          <w:rFonts w:hint="eastAsia" w:ascii="方正小标宋简体" w:hAnsi="仿宋_GB2312" w:eastAsia="方正小标宋简体"/>
          <w:b w:val="0"/>
          <w:bCs/>
          <w:color w:val="000000"/>
          <w:szCs w:val="44"/>
        </w:rPr>
        <w:t>第三章 合同主要条款及格式</w:t>
      </w:r>
    </w:p>
    <w:p>
      <w:pPr>
        <w:pStyle w:val="3"/>
        <w:jc w:val="center"/>
        <w:rPr>
          <w:rFonts w:ascii="黑体" w:hAnsi="黑体" w:eastAsia="黑体" w:cs="黑体"/>
          <w:b w:val="0"/>
          <w:sz w:val="32"/>
          <w:szCs w:val="32"/>
        </w:rPr>
      </w:pPr>
      <w:bookmarkStart w:id="12" w:name="_Toc21176"/>
      <w:bookmarkStart w:id="13" w:name="_Toc18114"/>
      <w:bookmarkStart w:id="14" w:name="_Toc8374"/>
      <w:r>
        <w:rPr>
          <w:rFonts w:hint="eastAsia" w:ascii="黑体" w:hAnsi="黑体" w:eastAsia="黑体" w:cs="黑体"/>
          <w:b w:val="0"/>
          <w:sz w:val="32"/>
          <w:szCs w:val="32"/>
        </w:rPr>
        <w:t>合同模板</w:t>
      </w:r>
      <w:bookmarkEnd w:id="12"/>
      <w:bookmarkEnd w:id="13"/>
      <w:bookmarkEnd w:id="14"/>
    </w:p>
    <w:p>
      <w:pPr>
        <w:jc w:val="center"/>
        <w:rPr>
          <w:rFonts w:hint="eastAsia" w:ascii="宋体" w:hAnsi="宋体" w:eastAsia="宋体" w:cs="宋体"/>
          <w:b/>
          <w:bCs/>
          <w:sz w:val="44"/>
          <w:szCs w:val="44"/>
        </w:rPr>
      </w:pPr>
      <w:bookmarkStart w:id="15" w:name="_Toc97794046"/>
      <w:bookmarkStart w:id="16" w:name="_Toc32320"/>
      <w:r>
        <w:rPr>
          <w:rFonts w:hint="eastAsia" w:ascii="宋体" w:hAnsi="宋体" w:eastAsia="宋体" w:cs="宋体"/>
          <w:b/>
          <w:bCs/>
          <w:sz w:val="44"/>
          <w:szCs w:val="44"/>
          <w:lang w:eastAsia="zh-CN"/>
        </w:rPr>
        <w:t>陈四楼</w:t>
      </w:r>
      <w:r>
        <w:rPr>
          <w:rFonts w:hint="eastAsia" w:ascii="宋体" w:hAnsi="宋体" w:cs="宋体"/>
          <w:b/>
          <w:bCs/>
          <w:sz w:val="44"/>
          <w:szCs w:val="44"/>
          <w:lang w:val="en-US" w:eastAsia="zh-CN"/>
        </w:rPr>
        <w:t>三</w:t>
      </w:r>
      <w:r>
        <w:rPr>
          <w:rFonts w:hint="eastAsia" w:ascii="宋体" w:hAnsi="宋体" w:eastAsia="宋体" w:cs="宋体"/>
          <w:b/>
          <w:bCs/>
          <w:sz w:val="44"/>
          <w:szCs w:val="44"/>
          <w:lang w:eastAsia="zh-CN"/>
        </w:rPr>
        <w:t>期</w:t>
      </w:r>
      <w:r>
        <w:rPr>
          <w:rFonts w:hint="eastAsia" w:ascii="宋体" w:hAnsi="宋体" w:eastAsia="宋体" w:cs="宋体"/>
          <w:b/>
          <w:bCs/>
          <w:sz w:val="44"/>
          <w:szCs w:val="44"/>
        </w:rPr>
        <w:t>工程临时用地土地复垦方案</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编制</w:t>
      </w:r>
      <w:r>
        <w:rPr>
          <w:rFonts w:hint="eastAsia" w:ascii="宋体" w:hAnsi="宋体" w:cs="宋体"/>
          <w:b/>
          <w:bCs/>
          <w:sz w:val="44"/>
          <w:szCs w:val="44"/>
          <w:lang w:val="en-US" w:eastAsia="zh-CN"/>
        </w:rPr>
        <w:t>服务</w:t>
      </w:r>
    </w:p>
    <w:p>
      <w:pPr>
        <w:jc w:val="center"/>
        <w:rPr>
          <w:rFonts w:eastAsia="方正小标宋_GBK"/>
          <w:sz w:val="48"/>
          <w:szCs w:val="48"/>
        </w:rPr>
      </w:pPr>
    </w:p>
    <w:p>
      <w:pPr>
        <w:jc w:val="center"/>
        <w:rPr>
          <w:rFonts w:eastAsia="方正小标宋_GBK"/>
          <w:sz w:val="72"/>
          <w:szCs w:val="72"/>
        </w:rPr>
      </w:pPr>
      <w:r>
        <w:rPr>
          <w:rFonts w:eastAsia="方正小标宋_GBK"/>
          <w:sz w:val="72"/>
          <w:szCs w:val="72"/>
        </w:rPr>
        <w:t>合 同 书</w:t>
      </w:r>
    </w:p>
    <w:p>
      <w:pPr>
        <w:rPr>
          <w:rFonts w:eastAsia="仿宋_GB2312"/>
          <w:sz w:val="28"/>
          <w:szCs w:val="28"/>
        </w:rPr>
      </w:pPr>
    </w:p>
    <w:p>
      <w:pPr>
        <w:rPr>
          <w:rFonts w:hint="eastAsia" w:eastAsia="仿宋_GB2312"/>
          <w:sz w:val="28"/>
          <w:szCs w:val="28"/>
        </w:rPr>
      </w:pPr>
    </w:p>
    <w:p>
      <w:pPr>
        <w:rPr>
          <w:rFonts w:eastAsia="仿宋_GB2312"/>
          <w:sz w:val="28"/>
          <w:szCs w:val="28"/>
        </w:rPr>
      </w:pPr>
    </w:p>
    <w:p>
      <w:pPr>
        <w:jc w:val="right"/>
        <w:rPr>
          <w:rFonts w:eastAsia="仿宋_GB2312"/>
          <w:sz w:val="28"/>
          <w:szCs w:val="28"/>
        </w:rPr>
      </w:pPr>
    </w:p>
    <w:p>
      <w:pPr>
        <w:rPr>
          <w:rFonts w:eastAsia="仿宋_GB2312"/>
          <w:sz w:val="28"/>
          <w:szCs w:val="28"/>
        </w:rPr>
      </w:pPr>
    </w:p>
    <w:p>
      <w:pPr>
        <w:ind w:left="2533" w:leftChars="449" w:hanging="1590" w:hangingChars="495"/>
        <w:rPr>
          <w:rFonts w:hint="eastAsia" w:ascii="宋体" w:hAnsi="宋体" w:eastAsia="宋体" w:cs="宋体"/>
          <w:sz w:val="32"/>
          <w:szCs w:val="32"/>
          <w:u w:val="single"/>
        </w:rPr>
      </w:pPr>
      <w:r>
        <w:rPr>
          <w:rFonts w:hint="eastAsia" w:ascii="宋体" w:hAnsi="宋体" w:eastAsia="宋体" w:cs="宋体"/>
          <w:b/>
          <w:sz w:val="32"/>
          <w:szCs w:val="32"/>
        </w:rPr>
        <w:t>项目名称：</w:t>
      </w:r>
      <w:r>
        <w:rPr>
          <w:rFonts w:hint="eastAsia" w:ascii="宋体" w:hAnsi="宋体" w:eastAsia="宋体" w:cs="宋体"/>
          <w:sz w:val="32"/>
          <w:szCs w:val="32"/>
          <w:u w:val="single"/>
          <w:lang w:eastAsia="zh-CN"/>
        </w:rPr>
        <w:t>陈四楼</w:t>
      </w:r>
      <w:r>
        <w:rPr>
          <w:rFonts w:hint="eastAsia" w:ascii="宋体" w:hAnsi="宋体" w:eastAsia="宋体" w:cs="宋体"/>
          <w:sz w:val="32"/>
          <w:szCs w:val="32"/>
          <w:u w:val="single"/>
          <w:lang w:val="en-US" w:eastAsia="zh-CN"/>
        </w:rPr>
        <w:t>三</w:t>
      </w:r>
      <w:r>
        <w:rPr>
          <w:rFonts w:hint="eastAsia" w:ascii="宋体" w:hAnsi="宋体" w:eastAsia="宋体" w:cs="宋体"/>
          <w:sz w:val="32"/>
          <w:szCs w:val="32"/>
          <w:u w:val="single"/>
          <w:lang w:eastAsia="zh-CN"/>
        </w:rPr>
        <w:t>期工程</w:t>
      </w:r>
      <w:r>
        <w:rPr>
          <w:rFonts w:hint="eastAsia" w:ascii="宋体" w:hAnsi="宋体" w:eastAsia="宋体" w:cs="宋体"/>
          <w:sz w:val="32"/>
          <w:szCs w:val="32"/>
          <w:u w:val="single"/>
        </w:rPr>
        <w:t>临时用地土地复垦方案编制</w:t>
      </w:r>
    </w:p>
    <w:p>
      <w:pPr>
        <w:ind w:left="2527" w:leftChars="449" w:hanging="1584" w:hangingChars="495"/>
        <w:rPr>
          <w:rFonts w:hint="eastAsia" w:ascii="宋体" w:hAnsi="宋体" w:eastAsia="宋体" w:cs="宋体"/>
          <w:sz w:val="32"/>
          <w:szCs w:val="32"/>
          <w:u w:val="single"/>
        </w:rPr>
      </w:pPr>
    </w:p>
    <w:p>
      <w:pPr>
        <w:ind w:firstLine="948" w:firstLineChars="295"/>
        <w:rPr>
          <w:rFonts w:hint="eastAsia" w:ascii="宋体" w:hAnsi="宋体" w:eastAsia="宋体" w:cs="宋体"/>
          <w:b/>
          <w:sz w:val="32"/>
          <w:szCs w:val="32"/>
          <w:u w:val="single"/>
        </w:rPr>
      </w:pPr>
      <w:r>
        <w:rPr>
          <w:rFonts w:hint="eastAsia" w:ascii="宋体" w:hAnsi="宋体" w:eastAsia="宋体" w:cs="宋体"/>
          <w:b/>
          <w:sz w:val="32"/>
          <w:szCs w:val="32"/>
        </w:rPr>
        <w:t>委托单位：</w:t>
      </w:r>
      <w:r>
        <w:rPr>
          <w:rFonts w:hint="eastAsia" w:ascii="宋体" w:hAnsi="宋体" w:eastAsia="宋体" w:cs="宋体"/>
          <w:sz w:val="32"/>
          <w:szCs w:val="32"/>
          <w:u w:val="single"/>
        </w:rPr>
        <w:t xml:space="preserve">                    </w:t>
      </w:r>
    </w:p>
    <w:p>
      <w:pPr>
        <w:ind w:left="1260" w:firstLine="420"/>
        <w:rPr>
          <w:rFonts w:hint="eastAsia" w:ascii="宋体" w:hAnsi="宋体" w:eastAsia="宋体" w:cs="宋体"/>
          <w:b/>
          <w:sz w:val="32"/>
          <w:szCs w:val="32"/>
        </w:rPr>
      </w:pPr>
    </w:p>
    <w:p>
      <w:pPr>
        <w:ind w:firstLine="948" w:firstLineChars="295"/>
        <w:rPr>
          <w:rFonts w:hint="eastAsia" w:ascii="宋体" w:hAnsi="宋体" w:eastAsia="宋体" w:cs="宋体"/>
          <w:b/>
          <w:sz w:val="32"/>
          <w:szCs w:val="32"/>
          <w:u w:val="single"/>
        </w:rPr>
      </w:pPr>
      <w:r>
        <w:rPr>
          <w:rFonts w:hint="eastAsia" w:ascii="宋体" w:hAnsi="宋体" w:eastAsia="宋体" w:cs="宋体"/>
          <w:b/>
          <w:sz w:val="32"/>
          <w:szCs w:val="32"/>
        </w:rPr>
        <w:t>受托单位：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ind w:left="1260" w:firstLine="420"/>
        <w:rPr>
          <w:rFonts w:hint="eastAsia" w:ascii="宋体" w:hAnsi="宋体" w:eastAsia="宋体" w:cs="宋体"/>
          <w:b/>
          <w:sz w:val="32"/>
          <w:szCs w:val="32"/>
        </w:rPr>
      </w:pPr>
    </w:p>
    <w:p>
      <w:pPr>
        <w:ind w:firstLine="948" w:firstLineChars="295"/>
        <w:rPr>
          <w:rFonts w:hint="eastAsia" w:ascii="宋体" w:hAnsi="宋体" w:eastAsia="宋体" w:cs="宋体"/>
          <w:b/>
          <w:sz w:val="32"/>
          <w:szCs w:val="32"/>
          <w:u w:val="single"/>
        </w:rPr>
      </w:pPr>
      <w:r>
        <w:rPr>
          <w:rFonts w:hint="eastAsia" w:ascii="宋体" w:hAnsi="宋体" w:eastAsia="宋体" w:cs="宋体"/>
          <w:b/>
          <w:sz w:val="32"/>
          <w:szCs w:val="32"/>
        </w:rPr>
        <w:t>签订日期：      年    月    日</w:t>
      </w:r>
    </w:p>
    <w:p>
      <w:pPr>
        <w:ind w:left="1260" w:firstLine="420"/>
        <w:rPr>
          <w:rFonts w:eastAsia="楷体_GB2312"/>
          <w:b/>
          <w:sz w:val="32"/>
          <w:szCs w:val="32"/>
        </w:rPr>
      </w:pPr>
    </w:p>
    <w:p>
      <w:pPr>
        <w:rPr>
          <w:rFonts w:eastAsia="仿宋_GB2312"/>
          <w:sz w:val="28"/>
          <w:szCs w:val="28"/>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cols w:space="720" w:num="1"/>
          <w:titlePg/>
          <w:docGrid w:type="lines" w:linePitch="312" w:charSpace="0"/>
        </w:sectPr>
      </w:pPr>
    </w:p>
    <w:p>
      <w:pPr>
        <w:spacing w:line="360" w:lineRule="auto"/>
        <w:ind w:left="0" w:leftChars="0" w:firstLine="0" w:firstLineChars="0"/>
        <w:rPr>
          <w:rFonts w:eastAsia="仿宋_GB2312"/>
          <w:sz w:val="24"/>
        </w:rPr>
      </w:pPr>
      <w:r>
        <w:rPr>
          <w:rFonts w:eastAsia="仿宋_GB2312"/>
          <w:sz w:val="24"/>
        </w:rPr>
        <w:t>委托单位（甲方）：</w:t>
      </w:r>
      <w:r>
        <w:rPr>
          <w:rFonts w:eastAsia="仿宋_GB2312"/>
          <w:sz w:val="24"/>
          <w:u w:val="single"/>
        </w:rPr>
        <w:t xml:space="preserve"> </w:t>
      </w:r>
      <w:r>
        <w:rPr>
          <w:rFonts w:eastAsia="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pPr>
        <w:spacing w:line="360" w:lineRule="auto"/>
        <w:ind w:left="0" w:leftChars="0" w:firstLine="0" w:firstLineChars="0"/>
        <w:rPr>
          <w:rFonts w:eastAsia="仿宋_GB2312"/>
          <w:sz w:val="24"/>
        </w:rPr>
      </w:pPr>
      <w:r>
        <w:rPr>
          <w:rFonts w:eastAsia="仿宋_GB2312"/>
          <w:sz w:val="24"/>
        </w:rPr>
        <w:t>受托单位（乙方）：</w:t>
      </w:r>
      <w:r>
        <w:rPr>
          <w:rFonts w:hint="eastAsia" w:eastAsia="仿宋_GB2312"/>
          <w:sz w:val="24"/>
          <w:u w:val="single"/>
          <w:lang w:val="en-US" w:eastAsia="zh-CN"/>
        </w:rPr>
        <w:t xml:space="preserve">                           </w:t>
      </w:r>
    </w:p>
    <w:p>
      <w:pPr>
        <w:spacing w:line="360" w:lineRule="auto"/>
        <w:ind w:firstLine="480" w:firstLineChars="200"/>
        <w:jc w:val="left"/>
        <w:rPr>
          <w:rFonts w:eastAsia="仿宋_GB2312"/>
          <w:sz w:val="24"/>
        </w:rPr>
      </w:pPr>
      <w:r>
        <w:rPr>
          <w:rFonts w:hint="eastAsia" w:eastAsia="仿宋_GB2312"/>
          <w:sz w:val="24"/>
        </w:rPr>
        <w:t>为了落实合理利用土地和切实保护耕地的基本国策，规范临时用地土地复垦活动，加强土地复垦管理，提高土地利用的社会效益、经济效益和生态效益，按照“谁损毁，谁复垦”的原则，甲方</w:t>
      </w:r>
      <w:r>
        <w:rPr>
          <w:rFonts w:eastAsia="仿宋_GB2312"/>
          <w:sz w:val="24"/>
        </w:rPr>
        <w:t>委托</w:t>
      </w:r>
      <w:r>
        <w:rPr>
          <w:rFonts w:hint="eastAsia" w:eastAsia="仿宋_GB2312"/>
          <w:sz w:val="24"/>
        </w:rPr>
        <w:t>乙方</w:t>
      </w:r>
      <w:r>
        <w:rPr>
          <w:rFonts w:eastAsia="仿宋_GB2312"/>
          <w:sz w:val="24"/>
        </w:rPr>
        <w:t>承担</w:t>
      </w:r>
      <w:r>
        <w:rPr>
          <w:rFonts w:hint="eastAsia" w:eastAsia="仿宋_GB2312"/>
          <w:sz w:val="24"/>
          <w:u w:val="single"/>
          <w:lang w:eastAsia="zh-CN"/>
        </w:rPr>
        <w:t>陈四楼煤矿南翼九采区地面区域治理</w:t>
      </w:r>
      <w:r>
        <w:rPr>
          <w:rFonts w:hint="eastAsia" w:eastAsia="仿宋_GB2312"/>
          <w:sz w:val="24"/>
          <w:u w:val="single"/>
          <w:lang w:val="en-US" w:eastAsia="zh-CN"/>
        </w:rPr>
        <w:t>三</w:t>
      </w:r>
      <w:r>
        <w:rPr>
          <w:rFonts w:hint="eastAsia" w:eastAsia="仿宋_GB2312"/>
          <w:sz w:val="24"/>
          <w:u w:val="single"/>
          <w:lang w:eastAsia="zh-CN"/>
        </w:rPr>
        <w:t>期工程</w:t>
      </w:r>
      <w:r>
        <w:rPr>
          <w:rFonts w:hint="eastAsia" w:eastAsia="仿宋_GB2312"/>
          <w:sz w:val="24"/>
          <w:u w:val="single"/>
        </w:rPr>
        <w:t>临时用地</w:t>
      </w:r>
      <w:r>
        <w:rPr>
          <w:rFonts w:hint="eastAsia" w:eastAsia="仿宋_GB2312"/>
          <w:sz w:val="24"/>
          <w:u w:val="single"/>
          <w:lang w:val="en-US" w:eastAsia="zh-CN"/>
        </w:rPr>
        <w:t xml:space="preserve"> </w:t>
      </w:r>
      <w:r>
        <w:rPr>
          <w:rFonts w:hint="eastAsia" w:eastAsia="仿宋_GB2312"/>
          <w:sz w:val="24"/>
        </w:rPr>
        <w:t>范围的土地复垦方案</w:t>
      </w:r>
      <w:r>
        <w:rPr>
          <w:rFonts w:eastAsia="仿宋_GB2312"/>
          <w:sz w:val="24"/>
        </w:rPr>
        <w:t>编制等</w:t>
      </w:r>
      <w:r>
        <w:rPr>
          <w:rFonts w:hint="eastAsia" w:eastAsia="仿宋_GB2312"/>
          <w:sz w:val="24"/>
        </w:rPr>
        <w:t>技术</w:t>
      </w:r>
      <w:r>
        <w:rPr>
          <w:rFonts w:eastAsia="仿宋_GB2312"/>
          <w:sz w:val="24"/>
        </w:rPr>
        <w:t>工作。根据</w:t>
      </w:r>
      <w:r>
        <w:rPr>
          <w:rFonts w:hint="eastAsia" w:eastAsia="仿宋_GB2312"/>
          <w:sz w:val="24"/>
          <w:lang w:eastAsia="zh-CN"/>
        </w:rPr>
        <w:t>《</w:t>
      </w:r>
      <w:r>
        <w:rPr>
          <w:rFonts w:eastAsia="仿宋_GB2312"/>
          <w:sz w:val="24"/>
        </w:rPr>
        <w:t>中华人民共和国</w:t>
      </w:r>
      <w:r>
        <w:rPr>
          <w:rFonts w:hint="eastAsia" w:eastAsia="仿宋_GB2312"/>
          <w:sz w:val="24"/>
          <w:lang w:val="en-US" w:eastAsia="zh-CN"/>
        </w:rPr>
        <w:t>民法典</w:t>
      </w:r>
      <w:r>
        <w:rPr>
          <w:rFonts w:eastAsia="仿宋_GB2312"/>
          <w:sz w:val="24"/>
        </w:rPr>
        <w:t>》</w:t>
      </w:r>
      <w:r>
        <w:rPr>
          <w:rFonts w:hint="eastAsia" w:eastAsia="仿宋_GB2312"/>
          <w:sz w:val="24"/>
        </w:rPr>
        <w:t>、《土地复垦条例》</w:t>
      </w:r>
      <w:r>
        <w:rPr>
          <w:rFonts w:eastAsia="仿宋_GB2312"/>
          <w:sz w:val="24"/>
        </w:rPr>
        <w:t>，经双方友好协商，在平等互利的原则下，签订本合同，共同遵守。</w:t>
      </w:r>
    </w:p>
    <w:p>
      <w:pPr>
        <w:spacing w:line="360" w:lineRule="auto"/>
        <w:outlineLvl w:val="0"/>
        <w:rPr>
          <w:rFonts w:eastAsia="黑体"/>
          <w:sz w:val="24"/>
        </w:rPr>
      </w:pPr>
      <w:r>
        <w:rPr>
          <w:rFonts w:eastAsia="黑体"/>
          <w:sz w:val="24"/>
        </w:rPr>
        <w:t>一、工作依据</w:t>
      </w:r>
    </w:p>
    <w:p>
      <w:pPr>
        <w:spacing w:line="360" w:lineRule="auto"/>
        <w:ind w:firstLine="480" w:firstLineChars="200"/>
        <w:rPr>
          <w:rFonts w:eastAsia="仿宋_GB2312"/>
          <w:sz w:val="24"/>
        </w:rPr>
      </w:pPr>
      <w:r>
        <w:rPr>
          <w:rFonts w:eastAsia="仿宋_GB2312"/>
          <w:sz w:val="24"/>
        </w:rPr>
        <w:t>1</w:t>
      </w:r>
      <w:r>
        <w:rPr>
          <w:rFonts w:hint="eastAsia" w:eastAsia="仿宋_GB2312"/>
          <w:sz w:val="24"/>
        </w:rPr>
        <w:t>.1</w:t>
      </w:r>
      <w:r>
        <w:rPr>
          <w:rFonts w:eastAsia="仿宋_GB2312"/>
          <w:sz w:val="24"/>
        </w:rPr>
        <w:t>中华人民共和国国家行业标准CJJ8-99《测量规范》</w:t>
      </w:r>
    </w:p>
    <w:p>
      <w:pPr>
        <w:spacing w:line="360" w:lineRule="auto"/>
        <w:ind w:firstLine="480" w:firstLineChars="200"/>
        <w:rPr>
          <w:rFonts w:hint="eastAsia" w:eastAsia="仿宋_GB2312"/>
          <w:sz w:val="24"/>
        </w:rPr>
      </w:pPr>
      <w:r>
        <w:rPr>
          <w:rFonts w:hint="eastAsia" w:eastAsia="仿宋_GB2312"/>
          <w:sz w:val="24"/>
        </w:rPr>
        <w:t>1.2</w:t>
      </w:r>
      <w:r>
        <w:rPr>
          <w:rFonts w:eastAsia="仿宋_GB2312"/>
          <w:sz w:val="24"/>
        </w:rPr>
        <w:t>中华人民共和国国家标准GB/T7829-1995《地形图图式》</w:t>
      </w:r>
    </w:p>
    <w:p>
      <w:pPr>
        <w:spacing w:line="360" w:lineRule="auto"/>
        <w:ind w:firstLine="480" w:firstLineChars="200"/>
        <w:rPr>
          <w:rFonts w:hint="eastAsia" w:eastAsia="仿宋_GB2312"/>
          <w:sz w:val="24"/>
        </w:rPr>
      </w:pPr>
      <w:r>
        <w:rPr>
          <w:rFonts w:hint="eastAsia" w:eastAsia="仿宋_GB2312"/>
          <w:sz w:val="24"/>
        </w:rPr>
        <w:t>1.3</w:t>
      </w:r>
      <w:r>
        <w:rPr>
          <w:rFonts w:eastAsia="仿宋_GB2312"/>
          <w:sz w:val="24"/>
        </w:rPr>
        <w:t>中华人民共和国国家标准</w:t>
      </w:r>
      <w:r>
        <w:rPr>
          <w:rFonts w:hint="eastAsia" w:eastAsia="仿宋_GB2312"/>
          <w:sz w:val="24"/>
        </w:rPr>
        <w:t>GB/T 16453-2008《水土保持综合治理技术规范》</w:t>
      </w:r>
    </w:p>
    <w:p>
      <w:pPr>
        <w:spacing w:line="360" w:lineRule="auto"/>
        <w:ind w:firstLine="480" w:firstLineChars="200"/>
        <w:rPr>
          <w:rFonts w:hint="eastAsia" w:eastAsia="仿宋_GB2312"/>
          <w:sz w:val="24"/>
        </w:rPr>
      </w:pPr>
      <w:r>
        <w:rPr>
          <w:rFonts w:hint="eastAsia" w:eastAsia="仿宋_GB2312"/>
          <w:sz w:val="24"/>
        </w:rPr>
        <w:t>1.4</w:t>
      </w:r>
      <w:r>
        <w:rPr>
          <w:rFonts w:eastAsia="仿宋_GB2312"/>
          <w:sz w:val="24"/>
        </w:rPr>
        <w:t>中华人民共和国</w:t>
      </w:r>
      <w:r>
        <w:rPr>
          <w:rFonts w:hint="eastAsia" w:eastAsia="仿宋_GB2312"/>
          <w:sz w:val="24"/>
        </w:rPr>
        <w:t>土地管理</w:t>
      </w:r>
      <w:r>
        <w:rPr>
          <w:rFonts w:eastAsia="仿宋_GB2312"/>
          <w:sz w:val="24"/>
        </w:rPr>
        <w:t>行业标准TD/T 1031-2011</w:t>
      </w:r>
      <w:r>
        <w:rPr>
          <w:rFonts w:hint="eastAsia" w:eastAsia="仿宋_GB2312"/>
          <w:sz w:val="24"/>
        </w:rPr>
        <w:t>《土地复垦方案编制规程》</w:t>
      </w:r>
    </w:p>
    <w:p>
      <w:pPr>
        <w:spacing w:line="360" w:lineRule="auto"/>
        <w:ind w:firstLine="480" w:firstLineChars="200"/>
        <w:rPr>
          <w:rFonts w:hint="eastAsia" w:eastAsia="仿宋_GB2312"/>
          <w:sz w:val="24"/>
        </w:rPr>
      </w:pPr>
      <w:r>
        <w:rPr>
          <w:rFonts w:hint="eastAsia" w:eastAsia="仿宋_GB2312"/>
          <w:sz w:val="24"/>
        </w:rPr>
        <w:t>1.5《采挖废弃土地复垦技术标准》</w:t>
      </w:r>
    </w:p>
    <w:p>
      <w:pPr>
        <w:spacing w:line="360" w:lineRule="auto"/>
        <w:ind w:firstLine="480" w:firstLineChars="200"/>
        <w:rPr>
          <w:rFonts w:hint="eastAsia" w:eastAsia="仿宋_GB2312"/>
          <w:sz w:val="24"/>
        </w:rPr>
      </w:pPr>
      <w:r>
        <w:rPr>
          <w:rFonts w:hint="eastAsia" w:eastAsia="仿宋_GB2312"/>
          <w:sz w:val="24"/>
        </w:rPr>
        <w:t>1.6《建设破坏废弃土地复垦技术标准》</w:t>
      </w:r>
    </w:p>
    <w:p>
      <w:pPr>
        <w:spacing w:line="360" w:lineRule="auto"/>
        <w:ind w:firstLine="480" w:firstLineChars="200"/>
        <w:rPr>
          <w:rFonts w:hint="eastAsia" w:eastAsia="仿宋_GB2312"/>
          <w:sz w:val="24"/>
        </w:rPr>
      </w:pPr>
      <w:r>
        <w:rPr>
          <w:rFonts w:hint="eastAsia" w:eastAsia="仿宋_GB2312"/>
          <w:sz w:val="24"/>
        </w:rPr>
        <w:t>1.7</w:t>
      </w:r>
      <w:r>
        <w:rPr>
          <w:rFonts w:eastAsia="仿宋_GB2312"/>
          <w:sz w:val="24"/>
        </w:rPr>
        <w:t>财政部建设司、</w:t>
      </w:r>
      <w:r>
        <w:rPr>
          <w:rFonts w:hint="eastAsia" w:eastAsia="仿宋_GB2312"/>
          <w:sz w:val="24"/>
        </w:rPr>
        <w:t>自然</w:t>
      </w:r>
      <w:r>
        <w:rPr>
          <w:rFonts w:eastAsia="仿宋_GB2312"/>
          <w:sz w:val="24"/>
        </w:rPr>
        <w:t>资源部财政司《土地开发整理项目预算标准》财建</w:t>
      </w:r>
      <w:r>
        <w:rPr>
          <w:rFonts w:hint="eastAsia" w:eastAsia="仿宋_GB2312"/>
          <w:sz w:val="24"/>
        </w:rPr>
        <w:t>【</w:t>
      </w:r>
      <w:r>
        <w:rPr>
          <w:rFonts w:eastAsia="仿宋_GB2312"/>
          <w:sz w:val="24"/>
        </w:rPr>
        <w:t>20</w:t>
      </w:r>
      <w:r>
        <w:rPr>
          <w:rFonts w:hint="eastAsia" w:eastAsia="仿宋_GB2312"/>
          <w:sz w:val="24"/>
        </w:rPr>
        <w:t xml:space="preserve">14】 </w:t>
      </w:r>
    </w:p>
    <w:p>
      <w:pPr>
        <w:spacing w:line="360" w:lineRule="auto"/>
        <w:ind w:firstLine="480" w:firstLineChars="200"/>
        <w:rPr>
          <w:rFonts w:hint="eastAsia" w:eastAsia="仿宋_GB2312"/>
          <w:sz w:val="24"/>
        </w:rPr>
      </w:pPr>
      <w:r>
        <w:rPr>
          <w:rFonts w:hint="eastAsia" w:eastAsia="仿宋_GB2312"/>
          <w:sz w:val="24"/>
        </w:rPr>
        <w:t>1.8《关于加强生产建设项目土地复垦管理工作的通知》（国土资发【</w:t>
      </w:r>
      <w:r>
        <w:rPr>
          <w:rFonts w:eastAsia="仿宋_GB2312"/>
          <w:sz w:val="24"/>
        </w:rPr>
        <w:t>200</w:t>
      </w:r>
      <w:r>
        <w:rPr>
          <w:rFonts w:hint="eastAsia" w:eastAsia="仿宋_GB2312"/>
          <w:sz w:val="24"/>
        </w:rPr>
        <w:t>6】225号）</w:t>
      </w:r>
    </w:p>
    <w:p>
      <w:pPr>
        <w:spacing w:line="360" w:lineRule="auto"/>
        <w:ind w:firstLine="480" w:firstLineChars="200"/>
        <w:rPr>
          <w:rFonts w:hint="eastAsia" w:eastAsia="仿宋_GB2312"/>
          <w:sz w:val="24"/>
        </w:rPr>
      </w:pPr>
      <w:r>
        <w:rPr>
          <w:rFonts w:hint="eastAsia" w:eastAsia="仿宋_GB2312"/>
          <w:sz w:val="24"/>
        </w:rPr>
        <w:t>1.9《</w:t>
      </w:r>
      <w:r>
        <w:rPr>
          <w:rFonts w:eastAsia="仿宋_GB2312"/>
          <w:sz w:val="24"/>
        </w:rPr>
        <w:t>土地复垦条例实施办法</w:t>
      </w:r>
      <w:r>
        <w:rPr>
          <w:rFonts w:hint="eastAsia" w:eastAsia="仿宋_GB2312"/>
          <w:sz w:val="24"/>
        </w:rPr>
        <w:t>》（</w:t>
      </w:r>
      <w:r>
        <w:rPr>
          <w:rFonts w:eastAsia="仿宋_GB2312"/>
          <w:sz w:val="24"/>
        </w:rPr>
        <w:t>中华人民共和国</w:t>
      </w:r>
      <w:r>
        <w:rPr>
          <w:rFonts w:hint="eastAsia" w:eastAsia="仿宋_GB2312"/>
          <w:sz w:val="24"/>
        </w:rPr>
        <w:t>国务院令第56号）</w:t>
      </w:r>
    </w:p>
    <w:p>
      <w:pPr>
        <w:spacing w:line="360" w:lineRule="auto"/>
        <w:ind w:firstLine="480" w:firstLineChars="200"/>
        <w:rPr>
          <w:rFonts w:eastAsia="仿宋_GB2312"/>
          <w:sz w:val="24"/>
        </w:rPr>
      </w:pPr>
      <w:r>
        <w:rPr>
          <w:rFonts w:hint="eastAsia" w:eastAsia="仿宋_GB2312"/>
          <w:sz w:val="24"/>
        </w:rPr>
        <w:t>1.10测绘基准采用2000国家大地坐标系、1985国家高程基准。</w:t>
      </w:r>
    </w:p>
    <w:p>
      <w:pPr>
        <w:spacing w:line="360" w:lineRule="auto"/>
        <w:outlineLvl w:val="0"/>
        <w:rPr>
          <w:rFonts w:hint="eastAsia" w:eastAsia="仿宋_GB2312"/>
          <w:sz w:val="24"/>
        </w:rPr>
      </w:pPr>
      <w:r>
        <w:rPr>
          <w:rFonts w:eastAsia="黑体"/>
          <w:sz w:val="24"/>
        </w:rPr>
        <w:t>二</w:t>
      </w:r>
      <w:r>
        <w:rPr>
          <w:rFonts w:hint="eastAsia" w:eastAsia="黑体"/>
          <w:color w:val="auto"/>
          <w:sz w:val="24"/>
          <w:lang w:eastAsia="zh-CN"/>
        </w:rPr>
        <w:t>、</w:t>
      </w:r>
      <w:r>
        <w:rPr>
          <w:rFonts w:eastAsia="黑体"/>
          <w:sz w:val="24"/>
        </w:rPr>
        <w:t>委托的工作内容</w:t>
      </w:r>
    </w:p>
    <w:p>
      <w:pPr>
        <w:spacing w:line="360" w:lineRule="auto"/>
        <w:ind w:firstLine="480" w:firstLineChars="200"/>
        <w:rPr>
          <w:rFonts w:hint="eastAsia" w:eastAsia="仿宋_GB2312"/>
          <w:sz w:val="24"/>
          <w:highlight w:val="none"/>
        </w:rPr>
      </w:pPr>
      <w:r>
        <w:rPr>
          <w:rFonts w:hint="eastAsia" w:eastAsia="仿宋_GB2312"/>
          <w:sz w:val="24"/>
          <w:highlight w:val="none"/>
        </w:rPr>
        <w:t>2.1协助甲方对临时用地已破坏的土地进行的摸底调查，涉及到</w:t>
      </w:r>
      <w:r>
        <w:rPr>
          <w:rFonts w:hint="eastAsia" w:eastAsia="仿宋_GB2312"/>
          <w:sz w:val="24"/>
          <w:highlight w:val="none"/>
          <w:lang w:val="en-US" w:eastAsia="zh-CN"/>
        </w:rPr>
        <w:t>沱滨街道办事处土</w:t>
      </w:r>
      <w:r>
        <w:rPr>
          <w:rFonts w:hint="eastAsia" w:eastAsia="仿宋_GB2312"/>
          <w:sz w:val="24"/>
          <w:highlight w:val="yellow"/>
          <w:lang w:val="en-US" w:eastAsia="zh-CN"/>
        </w:rPr>
        <w:t>地36</w:t>
      </w:r>
      <w:r>
        <w:rPr>
          <w:rFonts w:hint="eastAsia" w:eastAsia="仿宋_GB2312"/>
          <w:sz w:val="24"/>
          <w:highlight w:val="yellow"/>
        </w:rPr>
        <w:t>亩</w:t>
      </w:r>
      <w:r>
        <w:rPr>
          <w:rFonts w:hint="eastAsia" w:eastAsia="仿宋_GB2312"/>
          <w:sz w:val="24"/>
          <w:highlight w:val="yellow"/>
          <w:lang w:eastAsia="zh-CN"/>
        </w:rPr>
        <w:t>（</w:t>
      </w:r>
      <w:r>
        <w:rPr>
          <w:rFonts w:hint="eastAsia" w:eastAsia="仿宋_GB2312"/>
          <w:sz w:val="24"/>
          <w:highlight w:val="yellow"/>
          <w:lang w:val="en-US" w:eastAsia="zh-CN"/>
        </w:rPr>
        <w:t>实际以现场测量为准</w:t>
      </w:r>
      <w:r>
        <w:rPr>
          <w:rFonts w:hint="eastAsia" w:eastAsia="仿宋_GB2312"/>
          <w:sz w:val="24"/>
          <w:highlight w:val="yellow"/>
          <w:lang w:eastAsia="zh-CN"/>
        </w:rPr>
        <w:t>）</w:t>
      </w:r>
      <w:r>
        <w:rPr>
          <w:rFonts w:hint="eastAsia" w:eastAsia="仿宋_GB2312"/>
          <w:sz w:val="24"/>
          <w:highlight w:val="yellow"/>
        </w:rPr>
        <w:t>；</w:t>
      </w:r>
    </w:p>
    <w:p>
      <w:pPr>
        <w:spacing w:line="360" w:lineRule="auto"/>
        <w:ind w:firstLine="480" w:firstLineChars="200"/>
        <w:rPr>
          <w:rFonts w:hint="eastAsia" w:eastAsia="仿宋_GB2312"/>
          <w:sz w:val="24"/>
        </w:rPr>
      </w:pPr>
      <w:r>
        <w:rPr>
          <w:rFonts w:hint="eastAsia" w:eastAsia="仿宋_GB2312"/>
          <w:sz w:val="24"/>
        </w:rPr>
        <w:t>2.2拍摄项目临时用地实地破坏现状照片（提供具有明显参照物的远近景照片）</w:t>
      </w:r>
    </w:p>
    <w:p>
      <w:pPr>
        <w:spacing w:line="360" w:lineRule="auto"/>
        <w:ind w:firstLine="480" w:firstLineChars="200"/>
        <w:rPr>
          <w:rFonts w:hint="eastAsia" w:eastAsia="仿宋_GB2312"/>
          <w:sz w:val="24"/>
        </w:rPr>
      </w:pPr>
      <w:r>
        <w:rPr>
          <w:rFonts w:hint="eastAsia" w:eastAsia="仿宋_GB2312"/>
          <w:sz w:val="24"/>
        </w:rPr>
        <w:t>2.3结合项目现场具体环境情况进行规划设计，编制项目临时用地土地复垦实施方案及预算，听取甲方及有关镇村组、群众的意见，再对项目实施方案进行修改完善；</w:t>
      </w:r>
    </w:p>
    <w:p>
      <w:pPr>
        <w:spacing w:line="360" w:lineRule="auto"/>
        <w:ind w:firstLine="480" w:firstLineChars="200"/>
        <w:rPr>
          <w:rFonts w:hint="eastAsia" w:eastAsia="仿宋_GB2312"/>
          <w:sz w:val="24"/>
          <w:lang w:val="en-US" w:eastAsia="zh-CN"/>
        </w:rPr>
      </w:pPr>
      <w:r>
        <w:rPr>
          <w:rFonts w:hint="eastAsia" w:eastAsia="仿宋_GB2312"/>
          <w:sz w:val="24"/>
          <w:lang w:val="en-US" w:eastAsia="zh-CN"/>
        </w:rPr>
        <w:t>2.4对临时用地项目范围进行勘测定界；</w:t>
      </w:r>
    </w:p>
    <w:p>
      <w:pPr>
        <w:spacing w:line="360" w:lineRule="auto"/>
        <w:ind w:firstLine="480" w:firstLineChars="200"/>
        <w:rPr>
          <w:rFonts w:hint="default" w:ascii="Times New Roman" w:hAnsi="Times New Roman" w:eastAsia="仿宋_GB2312" w:cs="Times New Roman"/>
          <w:sz w:val="24"/>
          <w:lang w:val="en-US" w:eastAsia="zh-CN"/>
        </w:rPr>
      </w:pPr>
      <w:r>
        <w:rPr>
          <w:rFonts w:hint="eastAsia" w:eastAsia="仿宋_GB2312"/>
          <w:sz w:val="24"/>
          <w:lang w:val="en-US" w:eastAsia="zh-CN"/>
        </w:rPr>
        <w:t>2.</w:t>
      </w:r>
      <w:r>
        <w:rPr>
          <w:rFonts w:hint="eastAsia" w:ascii="Times New Roman" w:hAnsi="Times New Roman" w:eastAsia="仿宋_GB2312" w:cs="Times New Roman"/>
          <w:sz w:val="24"/>
          <w:lang w:val="en-US" w:eastAsia="zh-CN"/>
        </w:rPr>
        <w:t>5乙方负责办理临时用地手续期间与其它第三方的协调等。</w:t>
      </w:r>
    </w:p>
    <w:p>
      <w:pPr>
        <w:spacing w:line="360" w:lineRule="auto"/>
        <w:outlineLvl w:val="0"/>
        <w:rPr>
          <w:rFonts w:eastAsia="黑体"/>
          <w:sz w:val="24"/>
        </w:rPr>
      </w:pPr>
      <w:r>
        <w:rPr>
          <w:rFonts w:eastAsia="黑体"/>
          <w:sz w:val="24"/>
        </w:rPr>
        <w:t>三、提供</w:t>
      </w:r>
      <w:r>
        <w:rPr>
          <w:rFonts w:hint="eastAsia" w:eastAsia="黑体"/>
          <w:sz w:val="24"/>
        </w:rPr>
        <w:t>的</w:t>
      </w:r>
      <w:r>
        <w:rPr>
          <w:rFonts w:eastAsia="黑体"/>
          <w:sz w:val="24"/>
        </w:rPr>
        <w:t>正式成果</w:t>
      </w:r>
    </w:p>
    <w:p>
      <w:pPr>
        <w:spacing w:line="360" w:lineRule="auto"/>
        <w:ind w:firstLine="480" w:firstLineChars="200"/>
        <w:rPr>
          <w:rFonts w:hint="eastAsia" w:eastAsia="仿宋_GB2312"/>
          <w:sz w:val="24"/>
        </w:rPr>
      </w:pPr>
      <w:r>
        <w:rPr>
          <w:rFonts w:hint="eastAsia" w:eastAsia="仿宋_GB2312"/>
          <w:sz w:val="24"/>
        </w:rPr>
        <w:t>3.1项目临时用地土地复垦实施方案（含项目地理位置图、勘测定界报告、方案文本、现状图、损毁预测图、规划图等）纸质两套；</w:t>
      </w:r>
    </w:p>
    <w:p>
      <w:pPr>
        <w:spacing w:line="360" w:lineRule="auto"/>
        <w:ind w:firstLine="480" w:firstLineChars="200"/>
        <w:rPr>
          <w:rFonts w:hint="eastAsia" w:eastAsia="仿宋_GB2312"/>
          <w:sz w:val="24"/>
          <w:lang w:eastAsia="zh-CN"/>
        </w:rPr>
      </w:pPr>
      <w:r>
        <w:rPr>
          <w:rFonts w:hint="eastAsia" w:eastAsia="仿宋_GB2312"/>
          <w:sz w:val="24"/>
        </w:rPr>
        <w:t>3.2相关技术成果须符合相应要求，并在满足资料报批数量后交甲方留存一份</w:t>
      </w:r>
      <w:r>
        <w:rPr>
          <w:rFonts w:hint="eastAsia" w:eastAsia="仿宋_GB2312"/>
          <w:sz w:val="24"/>
          <w:lang w:eastAsia="zh-CN"/>
        </w:rPr>
        <w:t>；</w:t>
      </w:r>
    </w:p>
    <w:p>
      <w:pPr>
        <w:pStyle w:val="20"/>
        <w:widowControl/>
        <w:shd w:val="clear" w:color="auto" w:fill="FFFFFF"/>
        <w:spacing w:beforeAutospacing="0" w:afterAutospacing="0" w:line="560" w:lineRule="exact"/>
        <w:ind w:firstLine="480" w:firstLineChars="200"/>
        <w:rPr>
          <w:rFonts w:hint="eastAsia" w:ascii="宋体" w:hAnsi="宋体" w:eastAsia="宋体" w:cs="宋体"/>
          <w:snapToGrid w:val="0"/>
          <w:kern w:val="2"/>
          <w:sz w:val="32"/>
          <w:szCs w:val="32"/>
        </w:rPr>
      </w:pPr>
      <w:r>
        <w:rPr>
          <w:rFonts w:hint="eastAsia" w:eastAsia="仿宋_GB2312"/>
          <w:sz w:val="24"/>
        </w:rPr>
        <w:t>3.</w:t>
      </w:r>
      <w:r>
        <w:rPr>
          <w:rFonts w:hint="eastAsia" w:eastAsia="仿宋_GB2312"/>
          <w:sz w:val="24"/>
          <w:lang w:val="en-US" w:eastAsia="zh-CN"/>
        </w:rPr>
        <w:t>3</w:t>
      </w:r>
      <w:r>
        <w:rPr>
          <w:rFonts w:hint="eastAsia" w:ascii="Times New Roman" w:hAnsi="Times New Roman" w:eastAsia="仿宋_GB2312" w:cs="Times New Roman"/>
          <w:kern w:val="2"/>
          <w:sz w:val="24"/>
          <w:lang w:val="en-US" w:eastAsia="zh-CN" w:bidi="ar-SA"/>
        </w:rPr>
        <w:t>自合同签订之日起90天内取得国土部门临时用地批复</w:t>
      </w:r>
      <w:r>
        <w:rPr>
          <w:rFonts w:hint="eastAsia" w:ascii="宋体" w:hAnsi="宋体" w:eastAsia="宋体" w:cs="宋体"/>
          <w:snapToGrid w:val="0"/>
          <w:kern w:val="2"/>
          <w:sz w:val="32"/>
          <w:szCs w:val="32"/>
        </w:rPr>
        <w:t>。</w:t>
      </w:r>
    </w:p>
    <w:p>
      <w:pPr>
        <w:pStyle w:val="2"/>
        <w:rPr>
          <w:rFonts w:hint="eastAsia" w:eastAsia="仿宋_GB2312"/>
          <w:lang w:val="en-US" w:eastAsia="zh-CN"/>
        </w:rPr>
      </w:pPr>
    </w:p>
    <w:p>
      <w:pPr>
        <w:spacing w:line="360" w:lineRule="auto"/>
        <w:outlineLvl w:val="0"/>
        <w:rPr>
          <w:rFonts w:eastAsia="黑体"/>
          <w:sz w:val="24"/>
        </w:rPr>
      </w:pPr>
      <w:r>
        <w:rPr>
          <w:rFonts w:eastAsia="黑体"/>
          <w:sz w:val="24"/>
        </w:rPr>
        <w:t>四、双方责任</w:t>
      </w:r>
    </w:p>
    <w:p>
      <w:pPr>
        <w:spacing w:line="360" w:lineRule="auto"/>
        <w:ind w:firstLine="482" w:firstLineChars="200"/>
        <w:rPr>
          <w:rFonts w:hint="eastAsia" w:eastAsia="仿宋_GB2312"/>
          <w:b/>
          <w:sz w:val="24"/>
        </w:rPr>
      </w:pPr>
      <w:r>
        <w:rPr>
          <w:rFonts w:hint="eastAsia" w:eastAsia="仿宋_GB2312"/>
          <w:b/>
          <w:sz w:val="24"/>
        </w:rPr>
        <w:t>4.1.甲方责任</w:t>
      </w:r>
    </w:p>
    <w:p>
      <w:pPr>
        <w:spacing w:line="360" w:lineRule="auto"/>
        <w:ind w:firstLine="480" w:firstLineChars="200"/>
        <w:rPr>
          <w:rFonts w:hint="eastAsia" w:eastAsia="仿宋_GB2312"/>
          <w:sz w:val="24"/>
        </w:rPr>
      </w:pPr>
      <w:r>
        <w:rPr>
          <w:rFonts w:hint="eastAsia" w:eastAsia="仿宋_GB2312"/>
          <w:sz w:val="24"/>
        </w:rPr>
        <w:t>4.1.1甲方应在规定的时间内向乙方提供基础资料，甲方不得要求乙方违反国家有关标准进行测绘或设计。</w:t>
      </w:r>
    </w:p>
    <w:p>
      <w:pPr>
        <w:spacing w:line="360" w:lineRule="auto"/>
        <w:ind w:firstLine="480" w:firstLineChars="200"/>
        <w:rPr>
          <w:rFonts w:hint="eastAsia" w:eastAsia="仿宋_GB2312"/>
          <w:sz w:val="24"/>
        </w:rPr>
      </w:pPr>
      <w:r>
        <w:rPr>
          <w:rFonts w:hint="eastAsia" w:eastAsia="仿宋_GB2312"/>
          <w:sz w:val="24"/>
        </w:rPr>
        <w:t>4.1.2甲方应保护乙方的设计方案、文件、资料图纸、数据、计算软件和专利技术。未经乙方同意，甲方对乙方交付的设计资料及文件不得擅自修改、复制、向第三人转让，或用于本合同以外的项目，如发生上述情况，甲方应负法律责任，乙方有权向甲方提出索赔。</w:t>
      </w:r>
    </w:p>
    <w:p>
      <w:pPr>
        <w:spacing w:line="360" w:lineRule="auto"/>
        <w:ind w:firstLine="480" w:firstLineChars="200"/>
        <w:rPr>
          <w:rFonts w:hint="eastAsia" w:eastAsia="仿宋_GB2312"/>
          <w:sz w:val="24"/>
        </w:rPr>
      </w:pPr>
      <w:r>
        <w:rPr>
          <w:rFonts w:hint="eastAsia" w:eastAsia="仿宋_GB2312"/>
          <w:sz w:val="24"/>
        </w:rPr>
        <w:t>4.1.3甲方应按时足额支付相关技术工作费。</w:t>
      </w:r>
    </w:p>
    <w:p>
      <w:pPr>
        <w:spacing w:line="360" w:lineRule="auto"/>
        <w:ind w:firstLine="482" w:firstLineChars="200"/>
        <w:rPr>
          <w:rFonts w:hint="eastAsia" w:eastAsia="仿宋_GB2312"/>
          <w:b/>
          <w:sz w:val="24"/>
        </w:rPr>
      </w:pPr>
      <w:r>
        <w:rPr>
          <w:rFonts w:hint="eastAsia" w:eastAsia="仿宋_GB2312"/>
          <w:b/>
          <w:sz w:val="24"/>
        </w:rPr>
        <w:t>4.2乙方责任</w:t>
      </w:r>
    </w:p>
    <w:p>
      <w:pPr>
        <w:spacing w:line="360" w:lineRule="auto"/>
        <w:ind w:firstLine="480" w:firstLineChars="200"/>
        <w:rPr>
          <w:rFonts w:hint="eastAsia" w:eastAsia="仿宋_GB2312"/>
          <w:sz w:val="24"/>
        </w:rPr>
      </w:pPr>
      <w:r>
        <w:rPr>
          <w:rFonts w:hint="eastAsia" w:eastAsia="仿宋_GB2312"/>
          <w:sz w:val="24"/>
        </w:rPr>
        <w:t>4.2.1乙方应按国家技术规范、标准、规程及甲方提出的合理测绘、设计要求，进行复垦工程测绘、设计，按合同规定的进度要求提交质量合格的测绘、设计资料，并对其负责。</w:t>
      </w:r>
    </w:p>
    <w:p>
      <w:pPr>
        <w:spacing w:line="360" w:lineRule="auto"/>
        <w:ind w:firstLine="480" w:firstLineChars="200"/>
        <w:rPr>
          <w:rFonts w:hint="eastAsia" w:eastAsia="仿宋_GB2312"/>
          <w:sz w:val="24"/>
        </w:rPr>
      </w:pPr>
      <w:r>
        <w:rPr>
          <w:rFonts w:hint="eastAsia" w:eastAsia="仿宋_GB2312"/>
          <w:sz w:val="24"/>
        </w:rPr>
        <w:t>4.2.2乙方采用的主要技术标准为现行国家有关规范标准。</w:t>
      </w:r>
    </w:p>
    <w:p>
      <w:pPr>
        <w:spacing w:line="360" w:lineRule="auto"/>
        <w:ind w:firstLine="480" w:firstLineChars="200"/>
        <w:rPr>
          <w:rFonts w:hint="eastAsia" w:eastAsia="仿宋_GB2312"/>
          <w:sz w:val="24"/>
        </w:rPr>
      </w:pPr>
      <w:r>
        <w:rPr>
          <w:rFonts w:hint="eastAsia" w:eastAsia="仿宋_GB2312"/>
          <w:sz w:val="24"/>
        </w:rPr>
        <w:t>4.2.3乙方按本合同第三条规定的内容向甲方交付资料及文件。</w:t>
      </w:r>
    </w:p>
    <w:p>
      <w:pPr>
        <w:spacing w:line="360" w:lineRule="auto"/>
        <w:ind w:firstLine="480" w:firstLineChars="200"/>
        <w:rPr>
          <w:rFonts w:hint="eastAsia" w:eastAsia="仿宋_GB2312"/>
          <w:sz w:val="24"/>
        </w:rPr>
      </w:pPr>
      <w:r>
        <w:rPr>
          <w:rFonts w:hint="eastAsia" w:eastAsia="仿宋_GB2312"/>
          <w:sz w:val="24"/>
        </w:rPr>
        <w:t>4.2.4乙方交付设计资料及文件后，按规定参加有关的设计审查，并根据审查结论负责对不超出原定范围的内容做必要的调整补充。</w:t>
      </w:r>
    </w:p>
    <w:p>
      <w:pPr>
        <w:spacing w:line="360" w:lineRule="auto"/>
        <w:ind w:firstLine="480" w:firstLineChars="200"/>
        <w:rPr>
          <w:rFonts w:hint="eastAsia" w:eastAsia="仿宋_GB2312"/>
          <w:sz w:val="24"/>
        </w:rPr>
      </w:pPr>
      <w:r>
        <w:rPr>
          <w:rFonts w:hint="eastAsia" w:eastAsia="仿宋_GB2312"/>
          <w:sz w:val="24"/>
        </w:rPr>
        <w:t>4.2.5乙方应保护甲方的知识产权，不得向第三人泄露、转让甲方提交的产品图纸等技术经济资料。如发生以上情况并给甲方造成经济损失，甲方有权向乙方索赔。</w:t>
      </w:r>
    </w:p>
    <w:p>
      <w:pPr>
        <w:spacing w:line="360" w:lineRule="auto"/>
        <w:ind w:firstLine="480" w:firstLineChars="200"/>
        <w:rPr>
          <w:rFonts w:hint="eastAsia" w:eastAsia="仿宋_GB2312"/>
          <w:sz w:val="24"/>
        </w:rPr>
      </w:pPr>
      <w:r>
        <w:rPr>
          <w:rFonts w:hint="eastAsia" w:eastAsia="仿宋_GB2312"/>
          <w:sz w:val="24"/>
        </w:rPr>
        <w:t>4.2.6乙方的现场设计人员必须根据项目实地的具体情况进行设计，若因乙方工作失误影响工程施工，乙方有义务进行整改。</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仿宋_GB2312" w:cs="Times New Roman"/>
          <w:kern w:val="2"/>
          <w:sz w:val="24"/>
          <w:lang w:val="en-US" w:eastAsia="zh-CN" w:bidi="ar-SA"/>
        </w:rPr>
      </w:pPr>
      <w:r>
        <w:rPr>
          <w:rFonts w:hint="eastAsia" w:ascii="Times New Roman" w:hAnsi="Times New Roman" w:eastAsia="仿宋_GB2312" w:cs="Times New Roman"/>
          <w:kern w:val="2"/>
          <w:sz w:val="24"/>
          <w:lang w:val="en-US" w:eastAsia="zh-CN" w:bidi="ar-SA"/>
        </w:rPr>
        <w:t>4.2.7乙方协助甲方办理临时用地手续，临时用地手续办理过程中遇到困难，乙方予以协调解决。</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kern w:val="2"/>
          <w:sz w:val="24"/>
          <w:lang w:val="en-US" w:eastAsia="zh-CN" w:bidi="ar-SA"/>
        </w:rPr>
      </w:pPr>
      <w:r>
        <w:rPr>
          <w:rFonts w:hint="eastAsia" w:ascii="Times New Roman" w:hAnsi="Times New Roman" w:eastAsia="仿宋_GB2312" w:cs="Times New Roman"/>
          <w:kern w:val="2"/>
          <w:sz w:val="24"/>
          <w:lang w:val="en-US" w:eastAsia="zh-CN" w:bidi="ar-SA"/>
        </w:rPr>
        <w:t>4.2.8乙方应在约定时间内完成相关工作，取得国土部门临时用地批复，保证甲方按时进场施工。</w:t>
      </w:r>
    </w:p>
    <w:p>
      <w:pPr>
        <w:spacing w:line="360" w:lineRule="auto"/>
        <w:outlineLvl w:val="0"/>
        <w:rPr>
          <w:rFonts w:eastAsia="黑体"/>
          <w:sz w:val="24"/>
        </w:rPr>
      </w:pPr>
      <w:r>
        <w:rPr>
          <w:rFonts w:eastAsia="黑体"/>
          <w:sz w:val="24"/>
        </w:rPr>
        <w:t>五、</w:t>
      </w:r>
      <w:r>
        <w:rPr>
          <w:rFonts w:hint="eastAsia" w:eastAsia="黑体"/>
          <w:sz w:val="24"/>
        </w:rPr>
        <w:t>合同价款</w:t>
      </w:r>
      <w:r>
        <w:rPr>
          <w:rFonts w:eastAsia="黑体"/>
          <w:sz w:val="24"/>
        </w:rPr>
        <w:t>及支付</w:t>
      </w:r>
    </w:p>
    <w:p>
      <w:pPr>
        <w:keepNext w:val="0"/>
        <w:keepLines w:val="0"/>
        <w:pageBreakBefore w:val="0"/>
        <w:widowControl w:val="0"/>
        <w:tabs>
          <w:tab w:val="left" w:pos="6120"/>
          <w:tab w:val="left" w:pos="9000"/>
        </w:tabs>
        <w:kinsoku/>
        <w:wordWrap/>
        <w:overflowPunct/>
        <w:topLinePunct w:val="0"/>
        <w:bidi w:val="0"/>
        <w:snapToGrid w:val="0"/>
        <w:spacing w:line="480" w:lineRule="exact"/>
        <w:ind w:left="0" w:leftChars="0" w:firstLine="480" w:firstLineChars="200"/>
        <w:jc w:val="both"/>
        <w:textAlignment w:val="auto"/>
        <w:rPr>
          <w:rFonts w:hint="eastAsia" w:ascii="Times New Roman" w:hAnsi="Times New Roman" w:eastAsia="仿宋_GB2312" w:cs="Times New Roman"/>
          <w:sz w:val="24"/>
          <w:highlight w:val="yellow"/>
          <w:lang w:val="en-US" w:eastAsia="zh-CN"/>
        </w:rPr>
      </w:pPr>
      <w:r>
        <w:rPr>
          <w:rFonts w:hint="eastAsia" w:eastAsia="仿宋_GB2312"/>
          <w:sz w:val="24"/>
        </w:rPr>
        <w:t>5.1乙方按人民币￥</w:t>
      </w:r>
      <w:r>
        <w:rPr>
          <w:rFonts w:hint="eastAsia" w:eastAsia="仿宋_GB2312"/>
          <w:color w:val="FF0000"/>
          <w:sz w:val="24"/>
          <w:highlight w:val="none"/>
          <w:u w:val="single"/>
        </w:rPr>
        <w:t xml:space="preserve"> </w:t>
      </w:r>
      <w:r>
        <w:rPr>
          <w:rFonts w:hint="eastAsia" w:eastAsia="仿宋_GB2312"/>
          <w:color w:val="FF0000"/>
          <w:sz w:val="24"/>
          <w:highlight w:val="none"/>
          <w:u w:val="single"/>
          <w:lang w:val="en-US" w:eastAsia="zh-CN"/>
        </w:rPr>
        <w:t xml:space="preserve">       </w:t>
      </w:r>
      <w:r>
        <w:rPr>
          <w:rFonts w:hint="eastAsia" w:eastAsia="仿宋_GB2312"/>
          <w:sz w:val="24"/>
          <w:highlight w:val="none"/>
        </w:rPr>
        <w:t>总</w:t>
      </w:r>
      <w:r>
        <w:rPr>
          <w:rFonts w:hint="eastAsia" w:eastAsia="仿宋_GB2312"/>
          <w:sz w:val="24"/>
        </w:rPr>
        <w:t>价包干承担本项目临时用地范围内土地复垦方案编制技术工作（包含项目评审费</w:t>
      </w:r>
      <w:r>
        <w:rPr>
          <w:rFonts w:hint="eastAsia" w:eastAsia="仿宋_GB2312"/>
          <w:sz w:val="24"/>
          <w:lang w:eastAsia="zh-CN"/>
        </w:rPr>
        <w:t>、</w:t>
      </w:r>
      <w:r>
        <w:rPr>
          <w:rFonts w:hint="eastAsia" w:eastAsia="仿宋_GB2312"/>
          <w:sz w:val="24"/>
          <w:lang w:val="en-US" w:eastAsia="zh-CN"/>
        </w:rPr>
        <w:t>土地勘测定界费等所有费用</w:t>
      </w:r>
      <w:r>
        <w:rPr>
          <w:rFonts w:hint="eastAsia" w:eastAsia="仿宋_GB2312"/>
          <w:sz w:val="24"/>
        </w:rPr>
        <w:t>）</w:t>
      </w:r>
      <w:r>
        <w:rPr>
          <w:rFonts w:hint="eastAsia" w:eastAsia="仿宋_GB2312"/>
          <w:sz w:val="24"/>
          <w:lang w:eastAsia="zh-CN"/>
        </w:rPr>
        <w:t>，</w:t>
      </w:r>
      <w:r>
        <w:rPr>
          <w:rFonts w:hint="eastAsia" w:ascii="Times New Roman" w:hAnsi="Times New Roman" w:eastAsia="仿宋_GB2312" w:cs="Times New Roman"/>
          <w:sz w:val="24"/>
          <w:lang w:val="en-US" w:eastAsia="zh-CN"/>
        </w:rPr>
        <w:t>以上价格为含税价，其中增值税税率为</w:t>
      </w:r>
      <w:r>
        <w:rPr>
          <w:rFonts w:hint="eastAsia" w:ascii="Times New Roman" w:hAnsi="Times New Roman" w:eastAsia="仿宋_GB2312" w:cs="Times New Roman"/>
          <w:sz w:val="24"/>
          <w:highlight w:val="yellow"/>
          <w:lang w:val="en-US" w:eastAsia="zh-CN"/>
        </w:rPr>
        <w:t>1%。</w:t>
      </w:r>
    </w:p>
    <w:p>
      <w:pPr>
        <w:spacing w:line="360" w:lineRule="auto"/>
        <w:ind w:firstLine="480" w:firstLineChars="200"/>
        <w:rPr>
          <w:rFonts w:hint="eastAsia" w:eastAsia="仿宋_GB2312"/>
          <w:sz w:val="24"/>
        </w:rPr>
      </w:pPr>
      <w:r>
        <w:rPr>
          <w:rFonts w:hint="eastAsia" w:eastAsia="仿宋_GB2312"/>
          <w:sz w:val="24"/>
        </w:rPr>
        <w:t>5.2支付方式</w:t>
      </w:r>
    </w:p>
    <w:p>
      <w:pPr>
        <w:spacing w:line="360" w:lineRule="auto"/>
        <w:ind w:firstLine="480" w:firstLineChars="200"/>
        <w:rPr>
          <w:rFonts w:hint="eastAsia" w:ascii="Times New Roman" w:hAnsi="Times New Roman" w:eastAsia="仿宋_GB2312" w:cs="Times New Roman"/>
          <w:sz w:val="24"/>
          <w:lang w:eastAsia="zh-CN"/>
        </w:rPr>
      </w:pPr>
      <w:r>
        <w:rPr>
          <w:rFonts w:hint="eastAsia" w:eastAsia="仿宋_GB2312"/>
          <w:sz w:val="24"/>
        </w:rPr>
        <w:t>乙方按合同约定时间完成复垦方案，专家评审复垦方案前，甲方支付该项目的技术工作费的60%给乙方</w:t>
      </w:r>
      <w:r>
        <w:rPr>
          <w:rFonts w:hint="eastAsia" w:eastAsia="仿宋_GB2312"/>
          <w:sz w:val="24"/>
          <w:lang w:eastAsia="zh-CN"/>
        </w:rPr>
        <w:t>；</w:t>
      </w:r>
      <w:r>
        <w:rPr>
          <w:rFonts w:hint="eastAsia" w:eastAsia="仿宋_GB2312"/>
          <w:sz w:val="24"/>
        </w:rPr>
        <w:t>专家评审后，甲方支付该项目的技术工作费的20%给乙方</w:t>
      </w:r>
      <w:r>
        <w:rPr>
          <w:rFonts w:hint="eastAsia" w:eastAsia="仿宋_GB2312"/>
          <w:sz w:val="24"/>
          <w:lang w:eastAsia="zh-CN"/>
        </w:rPr>
        <w:t>；</w:t>
      </w:r>
      <w:r>
        <w:rPr>
          <w:rFonts w:hint="eastAsia" w:eastAsia="仿宋_GB2312"/>
          <w:sz w:val="24"/>
        </w:rPr>
        <w:t>临时用地审批获批后，甲方支付该项目剩余20%技术工作费</w:t>
      </w:r>
      <w:r>
        <w:rPr>
          <w:rFonts w:hint="eastAsia" w:eastAsia="仿宋_GB2312"/>
          <w:sz w:val="24"/>
          <w:lang w:eastAsia="zh-CN"/>
        </w:rPr>
        <w:t>。</w:t>
      </w:r>
    </w:p>
    <w:p>
      <w:pPr>
        <w:spacing w:line="360" w:lineRule="auto"/>
        <w:ind w:firstLine="480" w:firstLineChars="200"/>
        <w:rPr>
          <w:rFonts w:hint="eastAsia" w:eastAsia="仿宋_GB2312"/>
          <w:sz w:val="24"/>
        </w:rPr>
      </w:pPr>
      <w:r>
        <w:rPr>
          <w:rFonts w:hint="eastAsia" w:eastAsia="仿宋_GB2312"/>
          <w:sz w:val="24"/>
        </w:rPr>
        <w:t>5.3完成时间</w:t>
      </w:r>
    </w:p>
    <w:p>
      <w:pPr>
        <w:spacing w:line="360" w:lineRule="auto"/>
        <w:ind w:firstLine="480" w:firstLineChars="200"/>
        <w:rPr>
          <w:rFonts w:hint="eastAsia" w:eastAsia="仿宋_GB2312"/>
          <w:sz w:val="24"/>
        </w:rPr>
      </w:pPr>
      <w:r>
        <w:rPr>
          <w:rFonts w:hint="eastAsia" w:eastAsia="仿宋_GB2312"/>
          <w:sz w:val="24"/>
        </w:rPr>
        <w:t>乙方按照甲方要求时间节点完成。</w:t>
      </w:r>
    </w:p>
    <w:p>
      <w:pPr>
        <w:spacing w:line="360" w:lineRule="auto"/>
        <w:outlineLvl w:val="0"/>
        <w:rPr>
          <w:rFonts w:eastAsia="黑体"/>
          <w:sz w:val="24"/>
        </w:rPr>
      </w:pPr>
      <w:r>
        <w:rPr>
          <w:rFonts w:eastAsia="黑体"/>
          <w:sz w:val="24"/>
        </w:rPr>
        <w:t>六、违约责任</w:t>
      </w:r>
    </w:p>
    <w:p>
      <w:pPr>
        <w:spacing w:line="360" w:lineRule="auto"/>
        <w:ind w:firstLine="480" w:firstLineChars="200"/>
        <w:rPr>
          <w:rFonts w:hint="eastAsia" w:eastAsia="仿宋_GB2312"/>
          <w:sz w:val="24"/>
        </w:rPr>
      </w:pPr>
      <w:r>
        <w:rPr>
          <w:rFonts w:hint="eastAsia" w:eastAsia="仿宋_GB2312"/>
          <w:sz w:val="24"/>
        </w:rPr>
        <w:t>6.1若乙方未能按时完成工作任务并在约定整改时间内仍未完成工作任务，</w:t>
      </w:r>
      <w:r>
        <w:rPr>
          <w:rFonts w:hint="eastAsia" w:eastAsia="仿宋_GB2312"/>
          <w:sz w:val="24"/>
          <w:lang w:val="en-US" w:eastAsia="zh-CN"/>
        </w:rPr>
        <w:t>甲方</w:t>
      </w:r>
      <w:r>
        <w:rPr>
          <w:rFonts w:hint="eastAsia" w:eastAsia="仿宋_GB2312"/>
          <w:sz w:val="24"/>
        </w:rPr>
        <w:t>有权</w:t>
      </w:r>
      <w:r>
        <w:rPr>
          <w:rFonts w:hint="eastAsia" w:eastAsia="仿宋_GB2312"/>
          <w:sz w:val="24"/>
          <w:lang w:val="en-US" w:eastAsia="zh-CN"/>
        </w:rPr>
        <w:t>向</w:t>
      </w:r>
      <w:r>
        <w:rPr>
          <w:rFonts w:hint="eastAsia" w:eastAsia="仿宋_GB2312"/>
          <w:sz w:val="24"/>
        </w:rPr>
        <w:t>乙方进行</w:t>
      </w:r>
      <w:r>
        <w:rPr>
          <w:rFonts w:hint="eastAsia" w:eastAsia="仿宋_GB2312"/>
          <w:sz w:val="24"/>
          <w:lang w:val="en-US" w:eastAsia="zh-CN"/>
        </w:rPr>
        <w:t>索赔</w:t>
      </w:r>
      <w:r>
        <w:rPr>
          <w:rFonts w:hint="eastAsia" w:eastAsia="仿宋_GB2312"/>
          <w:sz w:val="24"/>
          <w:lang w:eastAsia="zh-CN"/>
        </w:rPr>
        <w:t>，</w:t>
      </w:r>
      <w:r>
        <w:rPr>
          <w:rFonts w:hint="eastAsia" w:eastAsia="仿宋_GB2312"/>
          <w:sz w:val="24"/>
          <w:lang w:val="en-US" w:eastAsia="zh-CN"/>
        </w:rPr>
        <w:t>并由乙方赔偿</w:t>
      </w:r>
      <w:r>
        <w:rPr>
          <w:rFonts w:hint="eastAsia" w:eastAsia="仿宋_GB2312"/>
          <w:sz w:val="24"/>
        </w:rPr>
        <w:t>甲方</w:t>
      </w:r>
      <w:r>
        <w:rPr>
          <w:rFonts w:hint="eastAsia" w:eastAsia="仿宋_GB2312"/>
          <w:sz w:val="24"/>
          <w:lang w:val="en-US" w:eastAsia="zh-CN"/>
        </w:rPr>
        <w:t>损失</w:t>
      </w:r>
      <w:r>
        <w:rPr>
          <w:rFonts w:hint="eastAsia" w:eastAsia="仿宋_GB2312"/>
          <w:sz w:val="24"/>
        </w:rPr>
        <w:t>。</w:t>
      </w:r>
    </w:p>
    <w:p>
      <w:pPr>
        <w:spacing w:line="360" w:lineRule="auto"/>
        <w:outlineLvl w:val="0"/>
        <w:rPr>
          <w:rFonts w:eastAsia="黑体"/>
          <w:sz w:val="24"/>
        </w:rPr>
      </w:pPr>
      <w:r>
        <w:rPr>
          <w:rFonts w:eastAsia="黑体"/>
          <w:sz w:val="24"/>
        </w:rPr>
        <w:t>七、其他</w:t>
      </w:r>
    </w:p>
    <w:p>
      <w:pPr>
        <w:spacing w:line="360" w:lineRule="auto"/>
        <w:ind w:firstLine="480" w:firstLineChars="200"/>
        <w:rPr>
          <w:rFonts w:hint="eastAsia" w:eastAsia="仿宋_GB2312"/>
          <w:sz w:val="24"/>
        </w:rPr>
      </w:pPr>
      <w:r>
        <w:rPr>
          <w:rFonts w:hint="eastAsia" w:eastAsia="仿宋_GB2312"/>
          <w:sz w:val="24"/>
        </w:rPr>
        <w:t>7.1合同生效后双方均不得单方面终止合同。</w:t>
      </w:r>
    </w:p>
    <w:p>
      <w:pPr>
        <w:spacing w:line="360" w:lineRule="auto"/>
        <w:ind w:firstLine="480" w:firstLineChars="200"/>
        <w:rPr>
          <w:rFonts w:hint="eastAsia" w:eastAsia="仿宋_GB2312"/>
          <w:sz w:val="24"/>
        </w:rPr>
      </w:pPr>
      <w:r>
        <w:rPr>
          <w:rFonts w:hint="eastAsia" w:eastAsia="仿宋_GB2312"/>
          <w:sz w:val="24"/>
        </w:rPr>
        <w:t>7.2当发生下述情况时双方有权解除合同：</w:t>
      </w:r>
    </w:p>
    <w:p>
      <w:pPr>
        <w:spacing w:line="360" w:lineRule="auto"/>
        <w:ind w:firstLine="480" w:firstLineChars="200"/>
        <w:rPr>
          <w:rFonts w:hint="eastAsia" w:eastAsia="仿宋_GB2312"/>
          <w:sz w:val="24"/>
        </w:rPr>
      </w:pPr>
      <w:r>
        <w:rPr>
          <w:rFonts w:hint="eastAsia" w:eastAsia="仿宋_GB2312"/>
          <w:sz w:val="24"/>
        </w:rPr>
        <w:t>7.2.1其中的一方破产或宣告停业清理，且此清理不是出于重组、重建或合并之目的，合同另一方有权解除合同。</w:t>
      </w:r>
    </w:p>
    <w:p>
      <w:pPr>
        <w:spacing w:line="360" w:lineRule="auto"/>
        <w:ind w:firstLine="480" w:firstLineChars="200"/>
        <w:rPr>
          <w:rFonts w:hint="eastAsia" w:eastAsia="仿宋_GB2312"/>
          <w:sz w:val="24"/>
        </w:rPr>
      </w:pPr>
      <w:r>
        <w:rPr>
          <w:rFonts w:hint="eastAsia" w:eastAsia="仿宋_GB2312"/>
          <w:sz w:val="24"/>
        </w:rPr>
        <w:t>7.2.2未经双方协商，任何一方不得转让合同，否则，合同的另一方有权解除合同。</w:t>
      </w:r>
    </w:p>
    <w:p>
      <w:pPr>
        <w:spacing w:line="360" w:lineRule="auto"/>
        <w:ind w:firstLine="480" w:firstLineChars="200"/>
        <w:rPr>
          <w:rFonts w:hint="eastAsia" w:eastAsia="仿宋_GB2312"/>
          <w:sz w:val="24"/>
        </w:rPr>
      </w:pPr>
      <w:r>
        <w:rPr>
          <w:rFonts w:hint="eastAsia" w:eastAsia="仿宋_GB2312"/>
          <w:sz w:val="24"/>
        </w:rPr>
        <w:t>7.3因其他不可抗力因素而造成的后果和未尽事宜，由双方协商酌定。</w:t>
      </w:r>
    </w:p>
    <w:p>
      <w:pPr>
        <w:spacing w:line="360" w:lineRule="auto"/>
        <w:ind w:firstLine="480" w:firstLineChars="200"/>
        <w:rPr>
          <w:rFonts w:hint="eastAsia" w:eastAsia="仿宋_GB2312"/>
          <w:sz w:val="24"/>
        </w:rPr>
      </w:pPr>
      <w:r>
        <w:rPr>
          <w:rFonts w:hint="eastAsia" w:eastAsia="仿宋_GB2312"/>
          <w:sz w:val="24"/>
        </w:rPr>
        <w:t>7.4在项目测绘设计期间，双方工作人员若发生安全事故，由甲、乙双方各自负责。</w:t>
      </w:r>
    </w:p>
    <w:p>
      <w:pPr>
        <w:spacing w:line="360" w:lineRule="auto"/>
        <w:ind w:firstLine="480" w:firstLineChars="200"/>
        <w:rPr>
          <w:rFonts w:hint="eastAsia" w:eastAsia="仿宋_GB2312"/>
          <w:sz w:val="24"/>
        </w:rPr>
      </w:pPr>
      <w:r>
        <w:rPr>
          <w:rFonts w:hint="eastAsia" w:eastAsia="仿宋_GB2312"/>
          <w:sz w:val="24"/>
        </w:rPr>
        <w:t>7.5双方约定，在履行合同过程中产生争议时，可以采取以下方式解决：</w:t>
      </w:r>
    </w:p>
    <w:p>
      <w:pPr>
        <w:spacing w:line="360" w:lineRule="auto"/>
        <w:ind w:firstLine="480" w:firstLineChars="200"/>
        <w:rPr>
          <w:rFonts w:hint="eastAsia" w:eastAsia="仿宋_GB2312"/>
          <w:sz w:val="24"/>
        </w:rPr>
      </w:pPr>
      <w:r>
        <w:rPr>
          <w:rFonts w:hint="eastAsia" w:eastAsia="仿宋_GB2312"/>
          <w:sz w:val="24"/>
        </w:rPr>
        <w:t>依法向</w:t>
      </w:r>
      <w:r>
        <w:rPr>
          <w:rFonts w:hint="eastAsia" w:eastAsia="仿宋_GB2312"/>
          <w:sz w:val="24"/>
          <w:lang w:val="en-US" w:eastAsia="zh-CN"/>
        </w:rPr>
        <w:t>甲方所在地</w:t>
      </w:r>
      <w:r>
        <w:rPr>
          <w:rFonts w:hint="eastAsia" w:eastAsia="仿宋_GB2312"/>
          <w:sz w:val="24"/>
        </w:rPr>
        <w:t>人民法院起诉；</w:t>
      </w:r>
    </w:p>
    <w:p>
      <w:pPr>
        <w:spacing w:line="360" w:lineRule="auto"/>
        <w:ind w:firstLine="480" w:firstLineChars="200"/>
        <w:rPr>
          <w:rFonts w:hint="eastAsia" w:eastAsia="仿宋_GB2312"/>
          <w:sz w:val="24"/>
        </w:rPr>
      </w:pPr>
      <w:r>
        <w:rPr>
          <w:rFonts w:eastAsia="仿宋_GB2312"/>
          <w:sz w:val="24"/>
        </w:rPr>
        <w:t>本合同一式</w:t>
      </w:r>
      <w:r>
        <w:rPr>
          <w:rFonts w:hint="eastAsia" w:eastAsia="仿宋_GB2312"/>
          <w:sz w:val="24"/>
        </w:rPr>
        <w:t>肆</w:t>
      </w:r>
      <w:r>
        <w:rPr>
          <w:rFonts w:eastAsia="仿宋_GB2312"/>
          <w:sz w:val="24"/>
        </w:rPr>
        <w:t>份，甲方</w:t>
      </w:r>
      <w:r>
        <w:rPr>
          <w:rFonts w:hint="eastAsia" w:eastAsia="仿宋_GB2312"/>
          <w:sz w:val="24"/>
        </w:rPr>
        <w:t>、</w:t>
      </w:r>
      <w:r>
        <w:rPr>
          <w:rFonts w:eastAsia="仿宋_GB2312"/>
          <w:sz w:val="24"/>
        </w:rPr>
        <w:t>乙方各</w:t>
      </w:r>
      <w:r>
        <w:rPr>
          <w:rFonts w:hint="eastAsia" w:eastAsia="仿宋_GB2312"/>
          <w:sz w:val="24"/>
        </w:rPr>
        <w:t>贰</w:t>
      </w:r>
      <w:r>
        <w:rPr>
          <w:rFonts w:eastAsia="仿宋_GB2312"/>
          <w:sz w:val="24"/>
        </w:rPr>
        <w:t>份，具有同等法律效力</w:t>
      </w:r>
      <w:r>
        <w:rPr>
          <w:rFonts w:hint="eastAsia" w:eastAsia="仿宋_GB2312"/>
          <w:sz w:val="24"/>
        </w:rPr>
        <w:t>。合同自</w:t>
      </w:r>
      <w:r>
        <w:rPr>
          <w:rFonts w:eastAsia="仿宋_GB2312"/>
          <w:sz w:val="24"/>
        </w:rPr>
        <w:t>双方签字盖章之日起生效，履行完毕后，自行失效。</w:t>
      </w:r>
    </w:p>
    <w:p>
      <w:pPr>
        <w:spacing w:line="360" w:lineRule="auto"/>
        <w:ind w:firstLine="480" w:firstLineChars="200"/>
        <w:rPr>
          <w:rFonts w:hint="eastAsia" w:eastAsia="仿宋_GB2312"/>
          <w:sz w:val="24"/>
        </w:rPr>
      </w:pPr>
      <w:r>
        <w:rPr>
          <w:rFonts w:eastAsia="仿宋_GB2312"/>
          <w:sz w:val="24"/>
        </w:rPr>
        <w:t>甲方：</w:t>
      </w:r>
      <w:r>
        <w:rPr>
          <w:rFonts w:hint="eastAsia" w:eastAsia="仿宋_GB2312"/>
          <w:sz w:val="24"/>
        </w:rPr>
        <w:t xml:space="preserve">                </w:t>
      </w:r>
      <w:r>
        <w:rPr>
          <w:rFonts w:eastAsia="仿宋_GB2312"/>
          <w:sz w:val="24"/>
        </w:rPr>
        <w:t>　　</w:t>
      </w:r>
      <w:r>
        <w:rPr>
          <w:rFonts w:hint="eastAsia" w:eastAsia="仿宋_GB2312"/>
          <w:sz w:val="24"/>
        </w:rPr>
        <w:t xml:space="preserve">          </w:t>
      </w:r>
      <w:r>
        <w:rPr>
          <w:rFonts w:hint="eastAsia" w:eastAsia="仿宋_GB2312"/>
          <w:sz w:val="24"/>
          <w:lang w:val="en-US" w:eastAsia="zh-CN"/>
        </w:rPr>
        <w:t xml:space="preserve">     </w:t>
      </w:r>
      <w:r>
        <w:rPr>
          <w:rFonts w:eastAsia="仿宋_GB2312"/>
          <w:sz w:val="24"/>
        </w:rPr>
        <w:t>乙</w:t>
      </w:r>
      <w:r>
        <w:rPr>
          <w:rFonts w:hint="eastAsia" w:eastAsia="仿宋_GB2312"/>
          <w:sz w:val="24"/>
        </w:rPr>
        <w:t xml:space="preserve">  </w:t>
      </w:r>
      <w:r>
        <w:rPr>
          <w:rFonts w:eastAsia="仿宋_GB2312"/>
          <w:sz w:val="24"/>
        </w:rPr>
        <w:t>方：</w:t>
      </w:r>
      <w:r>
        <w:rPr>
          <w:rFonts w:hint="eastAsia" w:eastAsia="仿宋_GB2312"/>
          <w:sz w:val="24"/>
        </w:rPr>
        <w:t xml:space="preserve"> </w:t>
      </w:r>
    </w:p>
    <w:p>
      <w:pPr>
        <w:spacing w:line="360" w:lineRule="auto"/>
        <w:ind w:firstLine="480" w:firstLineChars="200"/>
        <w:rPr>
          <w:rFonts w:eastAsia="仿宋_GB2312"/>
          <w:sz w:val="24"/>
        </w:rPr>
      </w:pPr>
      <w:r>
        <w:rPr>
          <w:rFonts w:eastAsia="仿宋_GB2312"/>
          <w:sz w:val="24"/>
        </w:rPr>
        <w:t xml:space="preserve">法人代表：                  </w:t>
      </w:r>
      <w:r>
        <w:rPr>
          <w:rFonts w:hint="eastAsia" w:eastAsia="仿宋_GB2312"/>
          <w:sz w:val="24"/>
        </w:rPr>
        <w:t xml:space="preserve">  </w:t>
      </w:r>
      <w:r>
        <w:rPr>
          <w:rFonts w:eastAsia="仿宋_GB2312"/>
          <w:sz w:val="24"/>
        </w:rPr>
        <w:t xml:space="preserve">     </w:t>
      </w:r>
      <w:r>
        <w:rPr>
          <w:rFonts w:hint="eastAsia" w:eastAsia="仿宋_GB2312"/>
          <w:sz w:val="24"/>
          <w:lang w:val="en-US" w:eastAsia="zh-CN"/>
        </w:rPr>
        <w:t xml:space="preserve">     </w:t>
      </w:r>
      <w:r>
        <w:rPr>
          <w:rFonts w:eastAsia="仿宋_GB2312"/>
          <w:sz w:val="24"/>
        </w:rPr>
        <w:t xml:space="preserve"> 法人代表：</w:t>
      </w:r>
    </w:p>
    <w:p>
      <w:pPr>
        <w:spacing w:line="360" w:lineRule="auto"/>
        <w:ind w:firstLine="480" w:firstLineChars="200"/>
        <w:rPr>
          <w:rFonts w:hint="eastAsia" w:eastAsia="仿宋_GB2312"/>
          <w:sz w:val="24"/>
        </w:rPr>
      </w:pPr>
      <w:r>
        <w:rPr>
          <w:rFonts w:hint="eastAsia" w:eastAsia="仿宋_GB2312"/>
          <w:sz w:val="24"/>
        </w:rPr>
        <w:t>委托代理</w:t>
      </w:r>
      <w:r>
        <w:rPr>
          <w:rFonts w:eastAsia="仿宋_GB2312"/>
          <w:sz w:val="24"/>
        </w:rPr>
        <w:t xml:space="preserve">人：              </w:t>
      </w:r>
      <w:r>
        <w:rPr>
          <w:rFonts w:hint="eastAsia" w:eastAsia="仿宋_GB2312"/>
          <w:sz w:val="24"/>
        </w:rPr>
        <w:t xml:space="preserve">  </w:t>
      </w:r>
      <w:r>
        <w:rPr>
          <w:rFonts w:eastAsia="仿宋_GB2312"/>
          <w:sz w:val="24"/>
        </w:rPr>
        <w:t xml:space="preserve">       </w:t>
      </w:r>
      <w:r>
        <w:rPr>
          <w:rFonts w:hint="eastAsia" w:eastAsia="仿宋_GB2312"/>
          <w:sz w:val="24"/>
          <w:lang w:val="en-US" w:eastAsia="zh-CN"/>
        </w:rPr>
        <w:t xml:space="preserve">   </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委托代理</w:t>
      </w:r>
      <w:r>
        <w:rPr>
          <w:rFonts w:eastAsia="仿宋_GB2312"/>
          <w:sz w:val="24"/>
        </w:rPr>
        <w:t>人：</w:t>
      </w:r>
    </w:p>
    <w:p>
      <w:pPr>
        <w:spacing w:line="360" w:lineRule="auto"/>
        <w:ind w:firstLine="1080" w:firstLineChars="450"/>
        <w:rPr>
          <w:rFonts w:eastAsia="仿宋_GB2312"/>
          <w:sz w:val="24"/>
        </w:rPr>
      </w:pPr>
      <w:r>
        <w:rPr>
          <w:rFonts w:eastAsia="仿宋_GB2312"/>
          <w:sz w:val="24"/>
        </w:rPr>
        <w:t xml:space="preserve">年   月   日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hint="eastAsia" w:eastAsia="仿宋_GB2312"/>
          <w:sz w:val="24"/>
          <w:lang w:val="en-US" w:eastAsia="zh-CN"/>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r>
        <w:rPr>
          <w:rFonts w:hint="eastAsia" w:eastAsia="仿宋_GB2312"/>
          <w:sz w:val="24"/>
        </w:rPr>
        <w:t xml:space="preserve"> </w:t>
      </w:r>
    </w:p>
    <w:p>
      <w:pPr>
        <w:spacing w:line="360" w:lineRule="auto"/>
        <w:rPr>
          <w:rFonts w:hint="eastAsia" w:eastAsia="仿宋_GB2312"/>
          <w:sz w:val="24"/>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
        <w:numPr>
          <w:ilvl w:val="0"/>
          <w:numId w:val="0"/>
        </w:numPr>
        <w:spacing w:before="0" w:after="0" w:line="660" w:lineRule="exact"/>
        <w:jc w:val="center"/>
        <w:rPr>
          <w:rFonts w:hint="eastAsia" w:ascii="方正小标宋简体" w:hAnsi="仿宋_GB2312" w:eastAsia="方正小标宋简体" w:cs="Times New Roman"/>
          <w:b w:val="0"/>
          <w:bCs/>
          <w:color w:val="000000"/>
          <w:szCs w:val="44"/>
          <w:highlight w:val="none"/>
          <w:lang w:val="en-US" w:eastAsia="zh-CN"/>
        </w:rPr>
      </w:pPr>
      <w:r>
        <w:rPr>
          <w:rFonts w:hint="eastAsia" w:ascii="方正小标宋简体" w:hAnsi="仿宋_GB2312" w:eastAsia="方正小标宋简体" w:cs="Times New Roman"/>
          <w:b w:val="0"/>
          <w:bCs/>
          <w:color w:val="000000"/>
          <w:szCs w:val="44"/>
          <w:highlight w:val="none"/>
          <w:lang w:val="en-US" w:eastAsia="zh-CN"/>
        </w:rPr>
        <w:t>第四章 采购技术服务规格要求</w:t>
      </w:r>
      <w:bookmarkEnd w:id="15"/>
      <w:bookmarkEnd w:id="16"/>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黑体" w:hAnsi="仿宋_GB2312" w:eastAsia="黑体"/>
          <w:bCs/>
          <w:color w:val="000000"/>
          <w:sz w:val="30"/>
          <w:szCs w:val="30"/>
        </w:rPr>
      </w:pPr>
      <w:r>
        <w:rPr>
          <w:rFonts w:hint="eastAsia" w:ascii="宋体" w:hAnsi="宋体" w:cs="宋体"/>
          <w:sz w:val="30"/>
          <w:szCs w:val="30"/>
          <w:highlight w:val="none"/>
        </w:rPr>
        <w:t>技术服务的内容:进行实地调查，明确土地复垦的规模和范围，确定土壤的类型;根据复垦区的特点，提出土地复垦的技术路线与方法;明确土地复垦时间，落实士地复垦费用措施;按照相关自然资源主管部门要求，编制临时用地土地复垦方案，通过专家评审并形成上报成果材</w:t>
      </w:r>
      <w:r>
        <w:rPr>
          <w:rFonts w:hint="eastAsia" w:ascii="宋体" w:hAnsi="宋体" w:cs="宋体"/>
          <w:sz w:val="30"/>
          <w:szCs w:val="30"/>
          <w:highlight w:val="none"/>
          <w:lang w:val="en-US" w:eastAsia="zh-CN"/>
        </w:rPr>
        <w:t>料，并取得</w:t>
      </w:r>
      <w:r>
        <w:rPr>
          <w:rFonts w:hint="eastAsia" w:ascii="宋体" w:hAnsi="宋体" w:cs="宋体"/>
          <w:sz w:val="30"/>
          <w:szCs w:val="30"/>
          <w:highlight w:val="none"/>
        </w:rPr>
        <w:t>自然资源主管部门</w:t>
      </w:r>
      <w:r>
        <w:rPr>
          <w:rFonts w:hint="eastAsia" w:ascii="宋体" w:hAnsi="宋体" w:cs="宋体"/>
          <w:sz w:val="30"/>
          <w:szCs w:val="30"/>
          <w:highlight w:val="none"/>
          <w:lang w:val="en-US" w:eastAsia="zh-CN"/>
        </w:rPr>
        <w:t>下发的临时用地批复</w:t>
      </w:r>
      <w:r>
        <w:rPr>
          <w:rFonts w:hint="eastAsia" w:ascii="宋体" w:hAnsi="宋体" w:cs="宋体"/>
          <w:sz w:val="30"/>
          <w:szCs w:val="30"/>
          <w:highlight w:val="none"/>
        </w:rPr>
        <w:t>。</w:t>
      </w:r>
      <w:r>
        <w:rPr>
          <w:rFonts w:hint="eastAsia" w:ascii="黑体" w:hAnsi="仿宋_GB2312" w:eastAsia="黑体"/>
          <w:bCs/>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仿宋_GB2312" w:eastAsia="方正小标宋简体"/>
          <w:b w:val="0"/>
          <w:bCs/>
          <w:color w:val="000000"/>
          <w:sz w:val="30"/>
          <w:szCs w:val="30"/>
          <w:highlight w:val="none"/>
          <w:lang w:val="en-US" w:eastAsia="zh-CN"/>
        </w:rPr>
      </w:pPr>
      <w:r>
        <w:rPr>
          <w:rFonts w:hint="eastAsia"/>
          <w:sz w:val="30"/>
          <w:szCs w:val="30"/>
        </w:rPr>
        <w:br w:type="page"/>
      </w:r>
      <w:bookmarkEnd w:id="11"/>
    </w:p>
    <w:bookmarkEnd w:id="9"/>
    <w:bookmarkEnd w:id="10"/>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7" w:name="_Toc414431079"/>
      <w:bookmarkStart w:id="18" w:name="_Toc96585093"/>
      <w:bookmarkStart w:id="19" w:name="_Toc96584967"/>
      <w:bookmarkStart w:id="20" w:name="_Toc28611"/>
      <w:bookmarkStart w:id="21" w:name="_Toc16449"/>
      <w:bookmarkStart w:id="22" w:name="_Toc161767428"/>
      <w:bookmarkStart w:id="23" w:name="_Toc135999006"/>
      <w:r>
        <w:rPr>
          <w:rFonts w:hint="eastAsia" w:ascii="方正小标宋简体" w:hAnsi="仿宋_GB2312" w:eastAsia="方正小标宋简体"/>
          <w:b w:val="0"/>
          <w:bCs/>
          <w:color w:val="000000"/>
          <w:szCs w:val="44"/>
          <w:highlight w:val="none"/>
          <w:lang w:val="en-US" w:eastAsia="zh-CN"/>
        </w:rPr>
        <w:t>第四章  响应文件格式</w:t>
      </w:r>
      <w:bookmarkEnd w:id="17"/>
      <w:bookmarkEnd w:id="18"/>
      <w:bookmarkEnd w:id="19"/>
      <w:bookmarkEnd w:id="20"/>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4" w:name="_Toc256691561"/>
      <w:bookmarkStart w:id="25" w:name="_Toc256695437"/>
      <w:r>
        <w:rPr>
          <w:rFonts w:hint="eastAsia" w:ascii="仿宋_GB2312" w:eastAsia="仿宋_GB2312"/>
          <w:b/>
          <w:bCs/>
          <w:sz w:val="36"/>
          <w:szCs w:val="36"/>
          <w:highlight w:val="none"/>
        </w:rPr>
        <w:t>(项目名称)</w:t>
      </w:r>
      <w:bookmarkEnd w:id="24"/>
      <w:bookmarkEnd w:id="25"/>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6" w:name="_Toc256691562"/>
      <w:bookmarkStart w:id="27"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6"/>
      <w:bookmarkEnd w:id="27"/>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8" w:name="_Toc256695439"/>
      <w:bookmarkStart w:id="29" w:name="_Toc256691563"/>
      <w:r>
        <w:rPr>
          <w:rFonts w:hint="eastAsia" w:ascii="仿宋_GB2312" w:hAnsi="宋体" w:eastAsia="仿宋_GB2312"/>
          <w:sz w:val="32"/>
          <w:szCs w:val="32"/>
          <w:highlight w:val="none"/>
        </w:rPr>
        <w:t>项目编号：(         )</w:t>
      </w:r>
      <w:bookmarkEnd w:id="28"/>
      <w:bookmarkEnd w:id="29"/>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30" w:name="_Toc256691564"/>
      <w:bookmarkStart w:id="31" w:name="_Toc256695440"/>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30"/>
      <w:bookmarkEnd w:id="31"/>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32" w:name="_Toc256691565"/>
      <w:bookmarkStart w:id="33"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2"/>
      <w:bookmarkEnd w:id="33"/>
    </w:p>
    <w:p>
      <w:pPr>
        <w:jc w:val="center"/>
        <w:rPr>
          <w:rStyle w:val="30"/>
          <w:rFonts w:hint="eastAsia" w:ascii="宋体" w:hAnsi="宋体" w:cstheme="minorBidi"/>
          <w:b w:val="0"/>
          <w:highlight w:val="none"/>
          <w:lang w:val="en-US"/>
        </w:rPr>
      </w:pPr>
      <w:bookmarkStart w:id="34" w:name="_Toc96585094"/>
      <w:bookmarkStart w:id="35" w:name="_Toc96584968"/>
      <w:r>
        <w:rPr>
          <w:rStyle w:val="30"/>
          <w:rFonts w:hint="eastAsia" w:ascii="宋体" w:hAnsi="宋体" w:cstheme="minorBidi"/>
          <w:b w:val="0"/>
          <w:highlight w:val="none"/>
          <w:lang w:val="en-US"/>
        </w:rPr>
        <w:t>目  录</w:t>
      </w:r>
      <w:bookmarkEnd w:id="34"/>
      <w:bookmarkEnd w:id="35"/>
    </w:p>
    <w:p>
      <w:pPr>
        <w:numPr>
          <w:ilvl w:val="0"/>
          <w:numId w:val="1"/>
        </w:numPr>
        <w:spacing w:line="240" w:lineRule="atLeast"/>
        <w:rPr>
          <w:rFonts w:hint="eastAsia" w:ascii="宋体" w:hAnsi="宋体" w:eastAsia="宋体" w:cs="宋体"/>
          <w:sz w:val="32"/>
          <w:szCs w:val="32"/>
          <w:highlight w:val="none"/>
        </w:rPr>
      </w:pPr>
      <w:bookmarkStart w:id="36" w:name="_Toc256695462"/>
      <w:bookmarkStart w:id="37" w:name="_Toc256691586"/>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6"/>
      <w:bookmarkEnd w:id="37"/>
    </w:p>
    <w:p>
      <w:pPr>
        <w:numPr>
          <w:ilvl w:val="0"/>
          <w:numId w:val="1"/>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8" w:name="_Toc256691587"/>
      <w:bookmarkStart w:id="39"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8"/>
      <w:bookmarkEnd w:id="39"/>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40" w:name="_Toc256695464"/>
      <w:bookmarkStart w:id="41"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21"/>
      <w:bookmarkEnd w:id="40"/>
      <w:bookmarkEnd w:id="41"/>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30"/>
          <w:rFonts w:hint="eastAsia" w:ascii="宋体" w:hAnsi="宋体"/>
          <w:b w:val="0"/>
          <w:highlight w:val="none"/>
          <w:lang w:val="en-US"/>
        </w:rPr>
      </w:pPr>
      <w:r>
        <w:rPr>
          <w:rStyle w:val="30"/>
          <w:rFonts w:hint="eastAsia" w:ascii="宋体" w:hAnsi="宋体"/>
          <w:b w:val="0"/>
          <w:highlight w:val="none"/>
          <w:lang w:val="en-US"/>
        </w:rPr>
        <w:br w:type="page"/>
      </w:r>
    </w:p>
    <w:p>
      <w:pPr>
        <w:jc w:val="center"/>
        <w:rPr>
          <w:rStyle w:val="30"/>
          <w:rFonts w:ascii="宋体" w:hAnsi="宋体"/>
          <w:b w:val="0"/>
          <w:highlight w:val="none"/>
        </w:rPr>
      </w:pPr>
      <w:r>
        <w:rPr>
          <w:rStyle w:val="30"/>
          <w:rFonts w:hint="eastAsia" w:ascii="宋体" w:hAnsi="宋体"/>
          <w:b w:val="0"/>
          <w:highlight w:val="none"/>
          <w:lang w:val="en-US"/>
        </w:rPr>
        <w:t>一、</w:t>
      </w:r>
      <w:r>
        <w:rPr>
          <w:rStyle w:val="30"/>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22"/>
      <w:bookmarkEnd w:id="23"/>
    </w:p>
    <w:p>
      <w:pPr>
        <w:pStyle w:val="9"/>
        <w:spacing w:line="530" w:lineRule="exact"/>
        <w:rPr>
          <w:rFonts w:hint="eastAsia"/>
          <w:sz w:val="32"/>
          <w:szCs w:val="32"/>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rPr>
          <w:highlight w:val="none"/>
        </w:rPr>
      </w:pPr>
    </w:p>
    <w:p>
      <w:pPr>
        <w:pStyle w:val="8"/>
        <w:rPr>
          <w:highlight w:val="none"/>
        </w:rPr>
      </w:pPr>
    </w:p>
    <w:p>
      <w:pPr>
        <w:pStyle w:val="8"/>
        <w:rPr>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仿宋_GB2312" w:eastAsia="黑体"/>
          <w:bCs/>
          <w:color w:val="000000"/>
          <w:sz w:val="32"/>
          <w:szCs w:val="32"/>
          <w:highlight w:val="none"/>
        </w:rPr>
      </w:pPr>
      <w:r>
        <w:rPr>
          <w:rStyle w:val="30"/>
          <w:rFonts w:hint="eastAsia" w:ascii="宋体" w:hAnsi="宋体" w:cstheme="minorBidi"/>
          <w:b w:val="0"/>
          <w:highlight w:val="none"/>
          <w:lang w:val="en-US"/>
        </w:rPr>
        <w:t>二、</w:t>
      </w:r>
      <w:r>
        <w:rPr>
          <w:rStyle w:val="30"/>
          <w:rFonts w:hint="eastAsia" w:ascii="宋体" w:hAnsi="宋体" w:cstheme="minorBidi"/>
          <w:b w:val="0"/>
          <w:highlight w:val="none"/>
          <w:lang w:val="en-US" w:eastAsia="zh-CN"/>
        </w:rPr>
        <w:t>陈四楼三期工程复垦方案编制服务</w:t>
      </w:r>
      <w:r>
        <w:rPr>
          <w:rStyle w:val="30"/>
          <w:rFonts w:hint="eastAsia" w:ascii="宋体" w:hAnsi="宋体" w:cstheme="minorBidi"/>
          <w:b w:val="0"/>
          <w:highlight w:val="none"/>
          <w:lang w:val="en-US"/>
        </w:rPr>
        <w:t>报价表</w:t>
      </w:r>
    </w:p>
    <w:p>
      <w:pPr>
        <w:rPr>
          <w:rStyle w:val="30"/>
          <w:rFonts w:ascii="宋体" w:hAnsi="Calibri" w:eastAsia="宋体"/>
          <w:b w:val="0"/>
          <w:sz w:val="24"/>
          <w:szCs w:val="24"/>
          <w:highlight w:val="none"/>
        </w:rPr>
      </w:pPr>
      <w:r>
        <w:rPr>
          <w:rFonts w:hint="eastAsia" w:ascii="宋体" w:hAnsi="Calibri"/>
          <w:sz w:val="24"/>
          <w:szCs w:val="24"/>
          <w:highlight w:val="none"/>
        </w:rPr>
        <w:t>项目名称：</w:t>
      </w:r>
      <w:r>
        <w:rPr>
          <w:rFonts w:ascii="宋体" w:hAnsi="Calibri"/>
          <w:sz w:val="24"/>
          <w:szCs w:val="24"/>
          <w:highlight w:val="none"/>
          <w:u w:val="single"/>
        </w:rPr>
        <w:t xml:space="preserve">                     </w:t>
      </w:r>
      <w:r>
        <w:rPr>
          <w:rFonts w:ascii="宋体" w:hAnsi="Calibri"/>
          <w:sz w:val="24"/>
          <w:szCs w:val="24"/>
          <w:highlight w:val="non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vAlign w:val="center"/>
          </w:tcPr>
          <w:p>
            <w:pPr>
              <w:pStyle w:val="33"/>
              <w:spacing w:line="360" w:lineRule="auto"/>
              <w:ind w:firstLine="720" w:firstLineChars="300"/>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采购内容</w:t>
            </w:r>
          </w:p>
        </w:tc>
        <w:tc>
          <w:tcPr>
            <w:tcW w:w="5849" w:type="dxa"/>
            <w:vAlign w:val="center"/>
          </w:tcPr>
          <w:p>
            <w:pPr>
              <w:spacing w:line="360" w:lineRule="auto"/>
              <w:ind w:firstLine="480" w:firstLineChars="200"/>
              <w:rPr>
                <w:rStyle w:val="30"/>
                <w:rFonts w:ascii="宋体" w:hAnsi="Times New Roman" w:eastAsia="宋体" w:cs="宋体"/>
                <w:b w:val="0"/>
                <w:sz w:val="24"/>
                <w:szCs w:val="24"/>
                <w:highlight w:val="none"/>
              </w:rPr>
            </w:pPr>
            <w:r>
              <w:rPr>
                <w:rStyle w:val="30"/>
                <w:rFonts w:hint="eastAsia" w:ascii="宋体" w:hAnsi="宋体" w:eastAsia="宋体" w:cs="宋体"/>
                <w:b w:val="0"/>
                <w:sz w:val="24"/>
                <w:szCs w:val="24"/>
                <w:highlight w:val="none"/>
                <w:lang w:val="en-US" w:eastAsia="zh-CN"/>
              </w:rPr>
              <w:t>陈四楼三期工程复垦方案编制服务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3"/>
              <w:spacing w:line="360" w:lineRule="auto"/>
              <w:ind w:firstLine="0" w:firstLineChars="0"/>
              <w:jc w:val="center"/>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不含增值税总价（万元）</w:t>
            </w:r>
          </w:p>
        </w:tc>
        <w:tc>
          <w:tcPr>
            <w:tcW w:w="5849" w:type="dxa"/>
            <w:vAlign w:val="center"/>
          </w:tcPr>
          <w:p>
            <w:pPr>
              <w:pStyle w:val="33"/>
              <w:spacing w:line="360" w:lineRule="auto"/>
              <w:jc w:val="center"/>
              <w:rPr>
                <w:rStyle w:val="30"/>
                <w:rFonts w:ascii="宋体" w:hAnsi="Calibri" w:eastAsia="宋体" w:cs="宋体"/>
                <w:b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3"/>
              <w:spacing w:line="360" w:lineRule="auto"/>
              <w:ind w:firstLine="0" w:firstLineChars="0"/>
              <w:jc w:val="center"/>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税率（</w:t>
            </w:r>
            <w:r>
              <w:rPr>
                <w:rStyle w:val="30"/>
                <w:rFonts w:ascii="宋体" w:hAnsi="宋体" w:eastAsia="宋体" w:cs="宋体"/>
                <w:b w:val="0"/>
                <w:sz w:val="24"/>
                <w:szCs w:val="24"/>
                <w:highlight w:val="none"/>
              </w:rPr>
              <w:t>%</w:t>
            </w:r>
            <w:r>
              <w:rPr>
                <w:rStyle w:val="30"/>
                <w:rFonts w:hint="eastAsia" w:ascii="宋体" w:hAnsi="宋体" w:eastAsia="宋体" w:cs="宋体"/>
                <w:b w:val="0"/>
                <w:sz w:val="24"/>
                <w:szCs w:val="24"/>
                <w:highlight w:val="none"/>
              </w:rPr>
              <w:t>）</w:t>
            </w:r>
          </w:p>
        </w:tc>
        <w:tc>
          <w:tcPr>
            <w:tcW w:w="5849" w:type="dxa"/>
            <w:vAlign w:val="center"/>
          </w:tcPr>
          <w:p>
            <w:pPr>
              <w:pStyle w:val="33"/>
              <w:spacing w:line="360" w:lineRule="auto"/>
              <w:jc w:val="center"/>
              <w:rPr>
                <w:rStyle w:val="30"/>
                <w:rFonts w:ascii="宋体" w:hAnsi="Calibri" w:eastAsia="宋体" w:cs="宋体"/>
                <w:b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3"/>
              <w:spacing w:line="360" w:lineRule="auto"/>
              <w:ind w:firstLine="0" w:firstLineChars="0"/>
              <w:jc w:val="center"/>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含增值税总价（万元）</w:t>
            </w:r>
          </w:p>
        </w:tc>
        <w:tc>
          <w:tcPr>
            <w:tcW w:w="5849" w:type="dxa"/>
            <w:vAlign w:val="center"/>
          </w:tcPr>
          <w:p>
            <w:pPr>
              <w:pStyle w:val="33"/>
              <w:spacing w:line="360" w:lineRule="auto"/>
              <w:jc w:val="center"/>
              <w:rPr>
                <w:rStyle w:val="30"/>
                <w:rFonts w:ascii="宋体" w:hAnsi="Calibri" w:eastAsia="宋体" w:cs="宋体"/>
                <w:b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3"/>
              <w:spacing w:line="360" w:lineRule="auto"/>
              <w:ind w:firstLine="0" w:firstLineChars="0"/>
              <w:jc w:val="center"/>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工期</w:t>
            </w:r>
          </w:p>
        </w:tc>
        <w:tc>
          <w:tcPr>
            <w:tcW w:w="5849" w:type="dxa"/>
            <w:vAlign w:val="center"/>
          </w:tcPr>
          <w:p>
            <w:pPr>
              <w:pStyle w:val="33"/>
              <w:spacing w:line="360" w:lineRule="auto"/>
              <w:jc w:val="center"/>
              <w:rPr>
                <w:rStyle w:val="30"/>
                <w:rFonts w:ascii="宋体" w:hAnsi="Calibri" w:eastAsia="宋体" w:cs="宋体"/>
                <w:b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3"/>
              <w:spacing w:line="360" w:lineRule="auto"/>
              <w:ind w:firstLine="0" w:firstLineChars="0"/>
              <w:jc w:val="center"/>
              <w:rPr>
                <w:rStyle w:val="30"/>
                <w:rFonts w:ascii="宋体" w:hAnsi="Calibri" w:eastAsia="宋体" w:cs="宋体"/>
                <w:b w:val="0"/>
                <w:sz w:val="24"/>
                <w:szCs w:val="24"/>
                <w:highlight w:val="none"/>
              </w:rPr>
            </w:pPr>
            <w:r>
              <w:rPr>
                <w:rStyle w:val="30"/>
                <w:rFonts w:hint="eastAsia" w:ascii="宋体" w:hAnsi="宋体" w:eastAsia="宋体" w:cs="宋体"/>
                <w:b w:val="0"/>
                <w:sz w:val="24"/>
                <w:szCs w:val="24"/>
                <w:highlight w:val="none"/>
              </w:rPr>
              <w:t>备注</w:t>
            </w:r>
          </w:p>
        </w:tc>
        <w:tc>
          <w:tcPr>
            <w:tcW w:w="5849" w:type="dxa"/>
            <w:vAlign w:val="center"/>
          </w:tcPr>
          <w:p>
            <w:pPr>
              <w:pStyle w:val="33"/>
              <w:spacing w:line="360" w:lineRule="auto"/>
              <w:ind w:left="0" w:leftChars="0" w:firstLine="0" w:firstLineChars="0"/>
              <w:jc w:val="both"/>
              <w:rPr>
                <w:rStyle w:val="30"/>
                <w:rFonts w:ascii="宋体" w:hAnsi="Calibri" w:eastAsia="宋体" w:cs="宋体"/>
                <w:b w:val="0"/>
                <w:sz w:val="24"/>
                <w:szCs w:val="24"/>
                <w:highlight w:val="none"/>
                <w:lang w:val="en-US"/>
              </w:rPr>
            </w:pPr>
            <w:r>
              <w:rPr>
                <w:rFonts w:hint="eastAsia" w:eastAsia="仿宋_GB2312"/>
                <w:sz w:val="24"/>
              </w:rPr>
              <w:t>此价格</w:t>
            </w:r>
            <w:r>
              <w:rPr>
                <w:rFonts w:hint="eastAsia" w:eastAsia="仿宋_GB2312"/>
                <w:sz w:val="24"/>
                <w:lang w:val="en-US"/>
              </w:rPr>
              <w:t>为总包价格：</w:t>
            </w:r>
            <w:r>
              <w:rPr>
                <w:rFonts w:hint="eastAsia" w:eastAsia="仿宋_GB2312"/>
                <w:sz w:val="24"/>
              </w:rPr>
              <w:t>包含项目评审费</w:t>
            </w:r>
            <w:r>
              <w:rPr>
                <w:rFonts w:hint="eastAsia" w:eastAsia="仿宋_GB2312"/>
                <w:sz w:val="24"/>
                <w:lang w:eastAsia="zh-CN"/>
              </w:rPr>
              <w:t>、</w:t>
            </w:r>
            <w:r>
              <w:rPr>
                <w:rFonts w:hint="eastAsia" w:eastAsia="仿宋_GB2312"/>
                <w:sz w:val="24"/>
                <w:lang w:val="en-US" w:eastAsia="zh-CN"/>
              </w:rPr>
              <w:t>土地勘测定界费等所有费用</w:t>
            </w:r>
            <w:r>
              <w:rPr>
                <w:rFonts w:hint="eastAsia" w:eastAsia="仿宋_GB2312"/>
                <w:sz w:val="24"/>
                <w:lang w:val="en-US"/>
              </w:rPr>
              <w:t xml:space="preserve"> </w:t>
            </w:r>
          </w:p>
        </w:tc>
      </w:tr>
    </w:tbl>
    <w:p>
      <w:pPr>
        <w:spacing w:line="360" w:lineRule="auto"/>
        <w:rPr>
          <w:rFonts w:ascii="宋体"/>
          <w:sz w:val="24"/>
          <w:szCs w:val="24"/>
          <w:highlight w:val="none"/>
        </w:rPr>
      </w:pPr>
    </w:p>
    <w:p>
      <w:pPr>
        <w:keepNext w:val="0"/>
        <w:keepLines w:val="0"/>
        <w:pageBreakBefore w:val="0"/>
        <w:widowControl/>
        <w:kinsoku/>
        <w:wordWrap/>
        <w:overflowPunct/>
        <w:topLinePunct w:val="0"/>
        <w:autoSpaceDE/>
        <w:autoSpaceDN/>
        <w:bidi w:val="0"/>
        <w:adjustRightInd/>
        <w:snapToGrid/>
        <w:spacing w:line="480" w:lineRule="auto"/>
        <w:ind w:firstLine="3120" w:firstLineChars="13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19"/>
        <w:keepNext w:val="0"/>
        <w:keepLines w:val="0"/>
        <w:pageBreakBefore w:val="0"/>
        <w:kinsoku/>
        <w:wordWrap/>
        <w:overflowPunct/>
        <w:topLinePunct w:val="0"/>
        <w:autoSpaceDE/>
        <w:autoSpaceDN/>
        <w:bidi w:val="0"/>
        <w:adjustRightInd/>
        <w:snapToGrid/>
        <w:spacing w:line="480" w:lineRule="auto"/>
        <w:ind w:firstLine="2640" w:firstLineChars="1100"/>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单位负责人或授权委托人签字：</w:t>
      </w:r>
    </w:p>
    <w:p>
      <w:pPr>
        <w:pStyle w:val="19"/>
        <w:keepNext w:val="0"/>
        <w:keepLines w:val="0"/>
        <w:pageBreakBefore w:val="0"/>
        <w:kinsoku/>
        <w:wordWrap/>
        <w:overflowPunct/>
        <w:topLinePunct w:val="0"/>
        <w:autoSpaceDE/>
        <w:autoSpaceDN/>
        <w:bidi w:val="0"/>
        <w:adjustRightInd/>
        <w:snapToGrid/>
        <w:spacing w:line="480" w:lineRule="auto"/>
        <w:ind w:firstLine="2880" w:firstLineChars="1200"/>
        <w:rPr>
          <w:rFonts w:hint="eastAsia"/>
          <w:lang w:val="en-US" w:eastAsia="zh-CN"/>
        </w:rPr>
      </w:pPr>
      <w:r>
        <w:rPr>
          <w:rFonts w:hint="eastAsia" w:hAnsi="宋体" w:cs="宋体"/>
          <w:color w:val="000000"/>
          <w:kern w:val="0"/>
          <w:sz w:val="24"/>
          <w:szCs w:val="24"/>
          <w:highlight w:val="none"/>
          <w:lang w:val="en-US" w:eastAsia="zh-CN" w:bidi="ar"/>
        </w:rPr>
        <w:t>日期：</w:t>
      </w:r>
    </w:p>
    <w:p>
      <w:pPr>
        <w:pStyle w:val="8"/>
        <w:keepNext w:val="0"/>
        <w:keepLines w:val="0"/>
        <w:pageBreakBefore w:val="0"/>
        <w:kinsoku/>
        <w:wordWrap/>
        <w:overflowPunct/>
        <w:topLinePunct w:val="0"/>
        <w:autoSpaceDE/>
        <w:autoSpaceDN/>
        <w:bidi w:val="0"/>
        <w:adjustRightInd/>
        <w:snapToGrid/>
        <w:spacing w:line="480" w:lineRule="auto"/>
        <w:rPr>
          <w:rFonts w:hint="eastAsia"/>
          <w:highlight w:val="none"/>
        </w:rPr>
      </w:pPr>
    </w:p>
    <w:p>
      <w:pPr>
        <w:spacing w:line="360" w:lineRule="auto"/>
        <w:rPr>
          <w:rFonts w:hint="default" w:ascii="Cambria" w:hAnsi="Cambria" w:eastAsia="宋体"/>
          <w:sz w:val="24"/>
          <w:highlight w:val="none"/>
          <w:lang w:val="en-US" w:eastAsia="zh-CN"/>
        </w:rPr>
      </w:pPr>
    </w:p>
    <w:p>
      <w:pPr>
        <w:pStyle w:val="8"/>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30"/>
          <w:rFonts w:hint="eastAsia" w:ascii="宋体" w:hAnsi="宋体" w:cstheme="minorBidi"/>
          <w:b w:val="0"/>
          <w:highlight w:val="none"/>
          <w:lang w:val="en-US" w:eastAsia="zh-CN"/>
        </w:rPr>
      </w:pPr>
      <w:bookmarkStart w:id="42" w:name="_Toc1604"/>
      <w:r>
        <w:rPr>
          <w:rStyle w:val="30"/>
          <w:rFonts w:hint="eastAsia" w:ascii="宋体" w:hAnsi="宋体" w:cstheme="minorBidi"/>
          <w:b w:val="0"/>
          <w:highlight w:val="none"/>
          <w:lang w:val="en-US" w:eastAsia="zh-CN"/>
        </w:rPr>
        <w:t>三、法定代表人身份证明</w:t>
      </w:r>
      <w:bookmarkEnd w:id="42"/>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30"/>
          <w:rFonts w:hint="eastAsia" w:ascii="宋体" w:hAnsi="宋体" w:cstheme="minorBidi"/>
          <w:b w:val="0"/>
          <w:highlight w:val="none"/>
          <w:lang w:val="en-US" w:eastAsia="zh-CN"/>
        </w:rPr>
      </w:pPr>
      <w:r>
        <w:rPr>
          <w:rStyle w:val="30"/>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w:t>
      </w:r>
      <w:r>
        <w:rPr>
          <w:rFonts w:hint="eastAsia" w:ascii="宋体" w:hAnsi="宋体" w:eastAsia="宋体" w:cs="Times New Roman"/>
          <w:szCs w:val="21"/>
          <w:highlight w:val="none"/>
          <w:lang w:eastAsia="zh-CN"/>
        </w:rPr>
        <w:t>送至江苏省常州市天宁区和电路10号。如未按时送达，视为我司自行放弃本项目</w:t>
      </w:r>
      <w:r>
        <w:rPr>
          <w:rFonts w:hint="eastAsia" w:ascii="宋体" w:hAnsi="宋体"/>
          <w:szCs w:val="21"/>
          <w:highlight w:val="none"/>
        </w:rPr>
        <w:t>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jc w:val="left"/>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2"/>
        <w:rPr>
          <w:rFonts w:cs="宋体"/>
          <w:sz w:val="32"/>
          <w:szCs w:val="32"/>
          <w:highlight w:val="none"/>
        </w:rPr>
      </w:pPr>
    </w:p>
    <w:p>
      <w:pPr>
        <w:pStyle w:val="32"/>
        <w:rPr>
          <w:rFonts w:cs="宋体"/>
          <w:sz w:val="32"/>
          <w:szCs w:val="32"/>
          <w:highlight w:val="none"/>
        </w:rPr>
      </w:pPr>
    </w:p>
    <w:p>
      <w:pPr>
        <w:pStyle w:val="32"/>
        <w:ind w:firstLine="3404" w:firstLineChars="1064"/>
        <w:jc w:val="right"/>
        <w:rPr>
          <w:rFonts w:cs="宋体"/>
          <w:sz w:val="32"/>
          <w:szCs w:val="32"/>
          <w:highlight w:val="none"/>
        </w:rPr>
      </w:pPr>
      <w:r>
        <w:rPr>
          <w:rFonts w:hint="eastAsia" w:cs="宋体"/>
          <w:sz w:val="32"/>
          <w:szCs w:val="32"/>
          <w:highlight w:val="none"/>
        </w:rPr>
        <w:t>单位负责人签字：</w:t>
      </w:r>
    </w:p>
    <w:p>
      <w:pPr>
        <w:pStyle w:val="32"/>
        <w:ind w:firstLine="6278" w:firstLineChars="1962"/>
        <w:jc w:val="right"/>
        <w:rPr>
          <w:rFonts w:cs="宋体"/>
          <w:sz w:val="32"/>
          <w:szCs w:val="32"/>
          <w:highlight w:val="none"/>
        </w:rPr>
      </w:pPr>
      <w:r>
        <w:rPr>
          <w:rFonts w:hint="eastAsia" w:cs="宋体"/>
          <w:sz w:val="32"/>
          <w:szCs w:val="32"/>
          <w:highlight w:val="none"/>
        </w:rPr>
        <w:t>公司盖章：</w:t>
      </w:r>
    </w:p>
    <w:p>
      <w:pPr>
        <w:pStyle w:val="32"/>
        <w:ind w:firstLine="3404" w:firstLineChars="1064"/>
        <w:jc w:val="right"/>
        <w:rPr>
          <w:rFonts w:cs="宋体"/>
          <w:sz w:val="32"/>
          <w:szCs w:val="32"/>
          <w:highlight w:val="none"/>
        </w:rPr>
      </w:pPr>
      <w:r>
        <w:rPr>
          <w:rFonts w:hint="eastAsia" w:cs="宋体"/>
          <w:sz w:val="32"/>
          <w:szCs w:val="32"/>
          <w:highlight w:val="none"/>
        </w:rPr>
        <w:t>日期：</w:t>
      </w:r>
    </w:p>
    <w:p>
      <w:pPr>
        <w:pStyle w:val="19"/>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1"/>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1"/>
        <w:spacing w:line="560" w:lineRule="exact"/>
        <w:jc w:val="cente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31"/>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1"/>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1"/>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1"/>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zIyYjUzMjNhZGNlNmUyYTU2MzJiZDNhODhlNmIifQ=="/>
  </w:docVars>
  <w:rsids>
    <w:rsidRoot w:val="3A2B41AB"/>
    <w:rsid w:val="013211EA"/>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DFE6804"/>
    <w:rsid w:val="0FAB0611"/>
    <w:rsid w:val="102962AF"/>
    <w:rsid w:val="10AD127D"/>
    <w:rsid w:val="11005262"/>
    <w:rsid w:val="11365128"/>
    <w:rsid w:val="12543AB7"/>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6FF0BCE"/>
    <w:rsid w:val="275E3C39"/>
    <w:rsid w:val="29F86FC6"/>
    <w:rsid w:val="2A642EB7"/>
    <w:rsid w:val="2A922F77"/>
    <w:rsid w:val="2AB6787F"/>
    <w:rsid w:val="2B2008F4"/>
    <w:rsid w:val="2B473D61"/>
    <w:rsid w:val="2C043A01"/>
    <w:rsid w:val="2D8F4CC7"/>
    <w:rsid w:val="2E1C77D8"/>
    <w:rsid w:val="2E287309"/>
    <w:rsid w:val="2F3E2306"/>
    <w:rsid w:val="2FCD4A51"/>
    <w:rsid w:val="2FCF2577"/>
    <w:rsid w:val="30155E33"/>
    <w:rsid w:val="301B57BD"/>
    <w:rsid w:val="303B5E5F"/>
    <w:rsid w:val="30AA4427"/>
    <w:rsid w:val="30AF2473"/>
    <w:rsid w:val="31AF3769"/>
    <w:rsid w:val="31D200FD"/>
    <w:rsid w:val="32221084"/>
    <w:rsid w:val="331E37FE"/>
    <w:rsid w:val="33C20973"/>
    <w:rsid w:val="33EA3E24"/>
    <w:rsid w:val="349268AC"/>
    <w:rsid w:val="357716E7"/>
    <w:rsid w:val="37164F30"/>
    <w:rsid w:val="37712166"/>
    <w:rsid w:val="3A2B41AB"/>
    <w:rsid w:val="3A414072"/>
    <w:rsid w:val="3A7F63EE"/>
    <w:rsid w:val="3AE446C0"/>
    <w:rsid w:val="3B0D471D"/>
    <w:rsid w:val="3BF151D9"/>
    <w:rsid w:val="3F446ADE"/>
    <w:rsid w:val="3F63082C"/>
    <w:rsid w:val="40EC2DAE"/>
    <w:rsid w:val="410E3013"/>
    <w:rsid w:val="41447783"/>
    <w:rsid w:val="41D43885"/>
    <w:rsid w:val="41D852BC"/>
    <w:rsid w:val="423A703E"/>
    <w:rsid w:val="42AD499A"/>
    <w:rsid w:val="42CE4911"/>
    <w:rsid w:val="4307194A"/>
    <w:rsid w:val="43923B90"/>
    <w:rsid w:val="454113CA"/>
    <w:rsid w:val="4597723C"/>
    <w:rsid w:val="46357180"/>
    <w:rsid w:val="474A5ABA"/>
    <w:rsid w:val="47D209FF"/>
    <w:rsid w:val="47FD1C99"/>
    <w:rsid w:val="4AE73A21"/>
    <w:rsid w:val="4B0610EB"/>
    <w:rsid w:val="4C03562B"/>
    <w:rsid w:val="4D8B2E35"/>
    <w:rsid w:val="4E3B72FE"/>
    <w:rsid w:val="4F4026F2"/>
    <w:rsid w:val="4F4331C8"/>
    <w:rsid w:val="4F936840"/>
    <w:rsid w:val="503C6221"/>
    <w:rsid w:val="50636741"/>
    <w:rsid w:val="50722D7F"/>
    <w:rsid w:val="51475FBA"/>
    <w:rsid w:val="525F2A86"/>
    <w:rsid w:val="52A91A6A"/>
    <w:rsid w:val="52CF2B6E"/>
    <w:rsid w:val="5302488E"/>
    <w:rsid w:val="543047C6"/>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6DD3436"/>
    <w:rsid w:val="68AD3DF1"/>
    <w:rsid w:val="6954706E"/>
    <w:rsid w:val="69DF102E"/>
    <w:rsid w:val="6A2971B4"/>
    <w:rsid w:val="6B030D4C"/>
    <w:rsid w:val="6B2B3DFF"/>
    <w:rsid w:val="6B6C069F"/>
    <w:rsid w:val="6D0B32B6"/>
    <w:rsid w:val="6D0E5786"/>
    <w:rsid w:val="6D415B5B"/>
    <w:rsid w:val="6E054DDB"/>
    <w:rsid w:val="6E5D0773"/>
    <w:rsid w:val="6F63625D"/>
    <w:rsid w:val="6FC935F6"/>
    <w:rsid w:val="707324D0"/>
    <w:rsid w:val="70D25448"/>
    <w:rsid w:val="73216213"/>
    <w:rsid w:val="738B7B30"/>
    <w:rsid w:val="741F5071"/>
    <w:rsid w:val="74520C5C"/>
    <w:rsid w:val="74DD616A"/>
    <w:rsid w:val="75ED062E"/>
    <w:rsid w:val="76937428"/>
    <w:rsid w:val="769B2EDE"/>
    <w:rsid w:val="76DB2B7D"/>
    <w:rsid w:val="77DF7B5B"/>
    <w:rsid w:val="780B6E7A"/>
    <w:rsid w:val="78511348"/>
    <w:rsid w:val="78AF03ED"/>
    <w:rsid w:val="79220866"/>
    <w:rsid w:val="79B50C4D"/>
    <w:rsid w:val="7ACB6FE8"/>
    <w:rsid w:val="7C6D4277"/>
    <w:rsid w:val="7CB24FCC"/>
    <w:rsid w:val="7CF83E0F"/>
    <w:rsid w:val="7D567401"/>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qFormat/>
    <w:uiPriority w:val="0"/>
    <w:pPr>
      <w:spacing w:after="120"/>
    </w:pPr>
  </w:style>
  <w:style w:type="paragraph" w:styleId="10">
    <w:name w:val="Body Text 2"/>
    <w:basedOn w:val="1"/>
    <w:qFormat/>
    <w:uiPriority w:val="0"/>
    <w:rPr>
      <w:color w:val="FF0000"/>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rFonts w:ascii="Times New Roman" w:hAnsi="Times New Roman"/>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autoSpaceDE/>
      <w:autoSpaceDN/>
      <w:adjustRightInd/>
      <w:spacing w:after="120"/>
      <w:ind w:left="420" w:leftChars="200"/>
      <w:jc w:val="both"/>
    </w:pPr>
    <w:rPr>
      <w:sz w:val="16"/>
      <w:szCs w:val="16"/>
    </w:rPr>
  </w:style>
  <w:style w:type="paragraph" w:styleId="18">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character" w:styleId="22">
    <w:name w:val="page number"/>
    <w:basedOn w:val="21"/>
    <w:qFormat/>
    <w:uiPriority w:val="99"/>
    <w:rPr>
      <w:rFonts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Table Heading"/>
    <w:basedOn w:val="26"/>
    <w:qFormat/>
    <w:uiPriority w:val="0"/>
    <w:pPr>
      <w:autoSpaceDE/>
      <w:autoSpaceDN/>
      <w:spacing w:line="288" w:lineRule="auto"/>
      <w:jc w:val="center"/>
    </w:pPr>
    <w:rPr>
      <w:rFonts w:ascii="宋体" w:hAnsi="宋体"/>
      <w:b/>
    </w:rPr>
  </w:style>
  <w:style w:type="paragraph" w:customStyle="1" w:styleId="26">
    <w:name w:val="Table Text"/>
    <w:basedOn w:val="1"/>
    <w:qFormat/>
    <w:uiPriority w:val="0"/>
    <w:pPr>
      <w:widowControl/>
      <w:autoSpaceDE w:val="0"/>
      <w:autoSpaceDN w:val="0"/>
      <w:spacing w:before="60" w:after="60"/>
      <w:jc w:val="left"/>
    </w:pPr>
    <w:rPr>
      <w:kern w:val="0"/>
    </w:rPr>
  </w:style>
  <w:style w:type="paragraph" w:customStyle="1" w:styleId="27">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8">
    <w:name w:val="样式1"/>
    <w:basedOn w:val="1"/>
    <w:qFormat/>
    <w:uiPriority w:val="0"/>
    <w:pPr>
      <w:autoSpaceDE/>
      <w:autoSpaceDN/>
      <w:jc w:val="both"/>
      <w:textAlignment w:val="baseline"/>
    </w:pPr>
    <w:rPr>
      <w:rFonts w:ascii="宋体" w:hAnsi="宋体" w:eastAsia="宋体"/>
      <w:sz w:val="21"/>
      <w:szCs w:val="21"/>
    </w:rPr>
  </w:style>
  <w:style w:type="paragraph" w:customStyle="1" w:styleId="29">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30">
    <w:name w:val="标题 2 Char Char Char"/>
    <w:qFormat/>
    <w:uiPriority w:val="0"/>
    <w:rPr>
      <w:rFonts w:ascii="Arial" w:hAnsi="Arial" w:eastAsia="黑体"/>
      <w:b/>
      <w:bCs/>
      <w:kern w:val="2"/>
      <w:sz w:val="32"/>
      <w:szCs w:val="32"/>
      <w:lang w:val="en-US" w:eastAsia="zh-CN" w:bidi="ar-SA"/>
    </w:rPr>
  </w:style>
  <w:style w:type="paragraph" w:customStyle="1" w:styleId="31">
    <w:name w:val="无间隔1"/>
    <w:basedOn w:val="1"/>
    <w:qFormat/>
    <w:uiPriority w:val="1"/>
    <w:pPr>
      <w:spacing w:line="400" w:lineRule="exact"/>
    </w:pPr>
    <w:rPr>
      <w:sz w:val="24"/>
    </w:rPr>
  </w:style>
  <w:style w:type="paragraph" w:customStyle="1" w:styleId="32">
    <w:name w:val="样式 仿宋_GB2312 四号 行距: 1.5 倍行距"/>
    <w:basedOn w:val="1"/>
    <w:qFormat/>
    <w:uiPriority w:val="0"/>
    <w:pPr>
      <w:spacing w:line="360" w:lineRule="auto"/>
      <w:ind w:firstLine="560"/>
    </w:pPr>
    <w:rPr>
      <w:rFonts w:ascii="宋体" w:hAnsi="宋体"/>
      <w:color w:val="000000"/>
    </w:rPr>
  </w:style>
  <w:style w:type="paragraph" w:styleId="3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6666</Words>
  <Characters>7050</Characters>
  <Lines>0</Lines>
  <Paragraphs>0</Paragraphs>
  <TotalTime>19</TotalTime>
  <ScaleCrop>false</ScaleCrop>
  <LinksUpToDate>false</LinksUpToDate>
  <CharactersWithSpaces>8051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2024-10-09T09:01:53Z</dcterms:modified>
  <dc:title>陈四楼三期工程临时用地复垦方案编制服务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4FEF76F9AD55444386AD3D6924E91926_13</vt:lpwstr>
  </property>
</Properties>
</file>