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金坛2×350MW盐穴压缩空气储能发电项目地下工程2口井钻井施工井场围挡建设施工</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公开询比文件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ind w:left="0" w:leftChars="0" w:firstLine="0" w:firstLineChars="0"/>
        <w:rPr>
          <w:rFonts w:ascii="宋体" w:hAnsi="宋体"/>
          <w:sz w:val="32"/>
          <w:highlight w:val="none"/>
        </w:rPr>
      </w:pPr>
    </w:p>
    <w:p>
      <w:pPr>
        <w:pStyle w:val="8"/>
        <w:ind w:left="0" w:leftChars="0" w:firstLine="0" w:firstLineChars="0"/>
        <w:rPr>
          <w:rFonts w:ascii="宋体" w:hAnsi="宋体"/>
          <w:sz w:val="32"/>
          <w:highlight w:val="none"/>
        </w:rPr>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bookmarkEnd w:id="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lang w:val="en-US" w:eastAsia="zh-CN"/>
        </w:rPr>
        <w:t>第一章 金坛2×350MW盐穴压缩空气储能发电项目地下工程2口井钻井施工井场</w:t>
      </w:r>
      <w:bookmarkStart w:id="3" w:name="_Toc24572"/>
      <w:bookmarkStart w:id="4" w:name="_Toc8924"/>
      <w:r>
        <w:rPr>
          <w:rFonts w:hint="eastAsia" w:ascii="方正小标宋简体" w:hAnsi="仿宋_GB2312" w:eastAsia="方正小标宋简体"/>
          <w:b w:val="0"/>
          <w:bCs/>
          <w:color w:val="000000"/>
          <w:szCs w:val="44"/>
          <w:highlight w:val="none"/>
          <w:lang w:val="en-US" w:eastAsia="zh-CN"/>
        </w:rPr>
        <w:t>围挡建设施工询比采购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金坛2×350MW盐穴压缩空气储能发电项目地下工程2口井钻井施工井场围挡建设已具备采购条件，采购人为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，现对金坛2×350MW盐穴压缩空气储能发电项目地下工程2口井钻井施工井场围挡建设施工采取公开询比，</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color w:val="auto"/>
          <w:kern w:val="2"/>
          <w:sz w:val="32"/>
          <w:szCs w:val="32"/>
          <w:highlight w:val="none"/>
          <w:lang w:val="en-US" w:eastAsia="zh-CN" w:bidi="ar-SA"/>
        </w:rPr>
        <w:t>金坛2×350MW盐穴压缩空气储能发电项目地下工程2口井钻井施工井场围挡</w:t>
      </w:r>
      <w:r>
        <w:rPr>
          <w:rFonts w:hint="eastAsia" w:ascii="仿宋_GB2312" w:hAnsi="宋体" w:eastAsia="仿宋_GB2312" w:cs="Times New Roman"/>
          <w:snapToGrid w:val="0"/>
          <w:kern w:val="2"/>
          <w:sz w:val="32"/>
          <w:szCs w:val="32"/>
          <w:highlight w:val="none"/>
          <w:lang w:val="en-US" w:eastAsia="zh-CN" w:bidi="ar-SA"/>
        </w:rPr>
        <w:t>建设施工</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3.服务期限：从合同签订之日起至井场围挡建设验收合格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5.建设范围：储能井井场（包括井场、水罐、箱变围挡搭建及泥浆材料房的基础浇筑等）</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询比</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响应人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2.1响应人未被“国家企业信用信息公示系统”网站（www.gsxt.gov.cn）列入严重违法失信企业名单。</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响应人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年01月01日至投标截止时间</w:t>
      </w:r>
      <w:r>
        <w:rPr>
          <w:rFonts w:hint="eastAsia" w:ascii="仿宋_GB2312" w:hAnsi="宋体" w:eastAsia="仿宋_GB2312"/>
          <w:snapToGrid w:val="0"/>
          <w:kern w:val="2"/>
          <w:sz w:val="32"/>
          <w:szCs w:val="32"/>
          <w:highlight w:val="none"/>
          <w:lang w:eastAsia="zh-CN"/>
        </w:rPr>
        <w:t>响应人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响应人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4"/>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lang w:eastAsia="zh-CN"/>
        </w:rPr>
        <w:t>响应人</w:t>
      </w:r>
      <w:r>
        <w:rPr>
          <w:rFonts w:hint="eastAsia" w:ascii="仿宋_GB2312" w:hAnsi="仿宋_GB2312" w:eastAsia="仿宋_GB2312" w:cs="仿宋_GB2312"/>
          <w:snapToGrid/>
          <w:color w:val="auto"/>
          <w:sz w:val="32"/>
          <w:szCs w:val="32"/>
          <w:highlight w:val="none"/>
        </w:rPr>
        <w:t>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w:t>
      </w:r>
      <w:r>
        <w:rPr>
          <w:rFonts w:hint="eastAsia" w:ascii="仿宋_GB2312" w:hAnsi="仿宋_GB2312" w:eastAsia="仿宋_GB2312" w:cs="仿宋_GB2312"/>
          <w:snapToGrid/>
          <w:color w:val="auto"/>
          <w:sz w:val="32"/>
          <w:szCs w:val="32"/>
          <w:highlight w:val="none"/>
          <w:lang w:eastAsia="zh-CN"/>
        </w:rPr>
        <w:t>响应人</w:t>
      </w:r>
      <w:r>
        <w:rPr>
          <w:rFonts w:hint="eastAsia" w:ascii="仿宋_GB2312" w:hAnsi="仿宋_GB2312" w:eastAsia="仿宋_GB2312" w:cs="仿宋_GB2312"/>
          <w:snapToGrid/>
          <w:color w:val="auto"/>
          <w:sz w:val="32"/>
          <w:szCs w:val="32"/>
          <w:highlight w:val="none"/>
        </w:rPr>
        <w:t>股权、在</w:t>
      </w:r>
      <w:r>
        <w:rPr>
          <w:rFonts w:hint="eastAsia" w:ascii="仿宋_GB2312" w:hAnsi="仿宋_GB2312" w:eastAsia="仿宋_GB2312" w:cs="仿宋_GB2312"/>
          <w:snapToGrid/>
          <w:color w:val="auto"/>
          <w:sz w:val="32"/>
          <w:szCs w:val="32"/>
          <w:highlight w:val="none"/>
          <w:lang w:eastAsia="zh-CN"/>
        </w:rPr>
        <w:t>响应人</w:t>
      </w:r>
      <w:r>
        <w:rPr>
          <w:rFonts w:hint="eastAsia" w:ascii="仿宋_GB2312" w:hAnsi="仿宋_GB2312" w:eastAsia="仿宋_GB2312" w:cs="仿宋_GB2312"/>
          <w:snapToGrid/>
          <w:color w:val="auto"/>
          <w:sz w:val="32"/>
          <w:szCs w:val="32"/>
          <w:highlight w:val="none"/>
        </w:rPr>
        <w:t>中任职、存在亲属关系等</w:t>
      </w:r>
      <w:r>
        <w:rPr>
          <w:rFonts w:hint="eastAsia" w:ascii="仿宋_GB2312" w:hAnsi="仿宋_GB2312" w:eastAsia="仿宋_GB2312" w:cs="仿宋_GB2312"/>
          <w:snapToGrid/>
          <w:color w:val="auto"/>
          <w:sz w:val="32"/>
          <w:szCs w:val="32"/>
          <w:highlight w:val="none"/>
          <w:lang w:eastAsia="zh-CN"/>
        </w:rPr>
        <w:t>。</w:t>
      </w:r>
    </w:p>
    <w:p>
      <w:pPr>
        <w:pStyle w:val="14"/>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询比</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询比</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（http://www.smdksd.com/）发布。</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:00时(北京时间)在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会议室开标。</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宋体" w:eastAsia="仿宋_GB2312"/>
          <w:sz w:val="32"/>
          <w:szCs w:val="32"/>
          <w:highlight w:val="none"/>
          <w:lang w:val="en-US" w:eastAsia="zh-CN"/>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sz w:val="32"/>
          <w:szCs w:val="32"/>
          <w:highlight w:val="none"/>
          <w:lang w:val="en-US" w:eastAsia="zh-CN"/>
        </w:rPr>
        <w:t>江苏省常州市天宁区和电路10号</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left="638" w:leftChars="304" w:firstLine="0" w:firstLineChars="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沙晓枫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15961197982</w:t>
      </w:r>
      <w:r>
        <w:rPr>
          <w:rFonts w:hint="eastAsia" w:ascii="仿宋_GB2312" w:hAnsi="宋体" w:eastAsia="仿宋_GB2312"/>
          <w:sz w:val="32"/>
          <w:szCs w:val="32"/>
          <w:highlight w:val="none"/>
        </w:rPr>
        <w:t>项目联系人：</w:t>
      </w:r>
      <w:r>
        <w:rPr>
          <w:rFonts w:hint="eastAsia" w:ascii="仿宋_GB2312" w:hAnsi="宋体" w:eastAsia="仿宋_GB2312"/>
          <w:sz w:val="32"/>
          <w:szCs w:val="32"/>
          <w:highlight w:val="none"/>
          <w:lang w:val="en-US" w:eastAsia="zh-CN"/>
        </w:rPr>
        <w:t>吴泽良</w:t>
      </w:r>
      <w:r>
        <w:rPr>
          <w:rFonts w:hint="eastAsia" w:ascii="仿宋_GB2312" w:hAnsi="宋体" w:eastAsia="仿宋_GB2312"/>
          <w:sz w:val="32"/>
          <w:szCs w:val="32"/>
          <w:highlight w:val="none"/>
        </w:rPr>
        <w:t xml:space="preserve">            电话：</w:t>
      </w:r>
      <w:r>
        <w:rPr>
          <w:rFonts w:hint="eastAsia" w:ascii="仿宋_GB2312" w:hAnsi="宋体" w:eastAsia="仿宋_GB2312"/>
          <w:sz w:val="32"/>
          <w:szCs w:val="32"/>
          <w:highlight w:val="none"/>
          <w:lang w:val="en-US" w:eastAsia="zh-CN"/>
        </w:rPr>
        <w:t>15961150301</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20"/>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仿宋_GB2312" w:eastAsia="仿宋_GB2312" w:cs="仿宋_GB2312"/>
          <w:snapToGrid/>
          <w:color w:val="auto"/>
          <w:kern w:val="0"/>
          <w:sz w:val="32"/>
          <w:szCs w:val="32"/>
          <w:highlight w:val="none"/>
          <w:lang w:val="en-US" w:eastAsia="zh-CN" w:bidi="ar-SA"/>
        </w:rPr>
      </w:pPr>
      <w:r>
        <w:rPr>
          <w:rFonts w:hint="eastAsia" w:ascii="仿宋_GB2312" w:hAnsi="仿宋_GB2312" w:eastAsia="仿宋_GB2312" w:cs="仿宋_GB2312"/>
          <w:snapToGrid/>
          <w:color w:val="auto"/>
          <w:kern w:val="0"/>
          <w:sz w:val="32"/>
          <w:szCs w:val="32"/>
          <w:highlight w:val="none"/>
          <w:lang w:val="en-US" w:eastAsia="zh-CN" w:bidi="ar-SA"/>
        </w:rPr>
        <w:t>纪检                    电话：15061936008</w:t>
      </w:r>
    </w:p>
    <w:p>
      <w:pPr>
        <w:pStyle w:val="1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11379"/>
      <w:bookmarkStart w:id="6" w:name="_Toc97794043"/>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w:t>
      </w:r>
      <w:bookmarkStart w:id="42" w:name="_GoBack"/>
      <w:bookmarkEnd w:id="42"/>
      <w:r>
        <w:rPr>
          <w:rFonts w:hint="eastAsia" w:ascii="方正小标宋简体" w:hAnsi="仿宋_GB2312" w:eastAsia="方正小标宋简体"/>
          <w:b w:val="0"/>
          <w:bCs/>
          <w:color w:val="000000"/>
          <w:szCs w:val="44"/>
          <w:highlight w:val="none"/>
          <w:lang w:val="en-US" w:eastAsia="zh-CN"/>
        </w:rPr>
        <w:t>章 响应人须知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单</w:t>
      </w:r>
      <w:r>
        <w:rPr>
          <w:rFonts w:hint="eastAsia" w:ascii="仿宋_GB2312" w:hAnsi="宋体" w:eastAsia="仿宋_GB2312"/>
          <w:sz w:val="32"/>
          <w:szCs w:val="32"/>
          <w:highlight w:val="none"/>
        </w:rPr>
        <w:t>价，最高投标限价为</w:t>
      </w:r>
      <w:r>
        <w:rPr>
          <w:rFonts w:hint="eastAsia" w:ascii="仿宋_GB2312" w:hAnsi="宋体" w:eastAsia="仿宋_GB2312" w:cs="Times New Roman"/>
          <w:b w:val="0"/>
          <w:bCs w:val="0"/>
          <w:snapToGrid w:val="0"/>
          <w:kern w:val="2"/>
          <w:sz w:val="32"/>
          <w:szCs w:val="32"/>
          <w:highlight w:val="none"/>
          <w:lang w:val="en-US" w:eastAsia="zh-CN" w:bidi="ar-SA"/>
        </w:rPr>
        <w:t>13万</w:t>
      </w:r>
      <w:r>
        <w:rPr>
          <w:rFonts w:hint="eastAsia" w:ascii="仿宋_GB2312" w:hAnsi="宋体" w:eastAsia="仿宋_GB2312"/>
          <w:sz w:val="32"/>
          <w:szCs w:val="32"/>
          <w:highlight w:val="none"/>
        </w:rPr>
        <w:t xml:space="preserve">元，一旦中标，报价不予调整。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ascii="宋体" w:hAnsi="宋体"/>
          <w:highlight w:val="none"/>
        </w:rPr>
      </w:pPr>
      <w:r>
        <w:rPr>
          <w:rFonts w:hint="eastAsia" w:ascii="仿宋_GB2312" w:hAnsi="宋体" w:eastAsia="仿宋_GB2312"/>
          <w:sz w:val="32"/>
          <w:szCs w:val="32"/>
          <w:highlight w:val="none"/>
        </w:rPr>
        <w:t>3、报价以元（人民币）为单位。</w:t>
      </w:r>
      <w:r>
        <w:rPr>
          <w:rFonts w:ascii="宋体" w:hAnsi="宋体"/>
          <w:highlight w:val="none"/>
        </w:rPr>
        <w:br w:type="page"/>
      </w:r>
      <w:bookmarkStart w:id="9" w:name="_Toc161767419"/>
      <w:bookmarkStart w:id="10" w:name="_Toc135998992"/>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bookmarkEnd w:id="9"/>
    <w:bookmarkEnd w:id="10"/>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28611"/>
      <w:bookmarkStart w:id="12" w:name="_Toc96585093"/>
      <w:bookmarkStart w:id="13" w:name="_Toc414431079"/>
      <w:bookmarkStart w:id="14" w:name="_Toc96584967"/>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lang w:val="en-US" w:eastAsia="zh-CN"/>
        </w:rPr>
        <w:t>第三章 合同模板</w:t>
      </w:r>
    </w:p>
    <w:p>
      <w:pPr>
        <w:spacing w:line="360" w:lineRule="auto"/>
        <w:rPr>
          <w:rFonts w:ascii="宋体" w:hAnsi="宋体" w:eastAsia="宋体" w:cs="宋体"/>
          <w:b/>
          <w:bCs/>
          <w:spacing w:val="35"/>
          <w:sz w:val="24"/>
          <w:szCs w:val="24"/>
          <w:highlight w:val="none"/>
        </w:rPr>
      </w:pP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发包方：(甲方)江苏长江地质勘查院</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承包方：(乙方)</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按照《中华人民共和国民法典》,本着平等互利，遵照公平、公正、诚信的原则，经甲乙双方协商签订本合同。</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一、工程概况：</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1、项目名称：</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2、项目地点：</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3、项目期限：开工日期以甲方通知为准，施工工期  天。遇到人力不可抗因素，工期顺延，但不增加费用。</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二、权利和义务</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(一)甲方的权利和义务</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1、向乙方提供施工技术文件，作为协调工作。</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2、监督乙方进行测量放线。</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3、甲方有权力对围挡建设中的质量，随时监督和检查。</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(二)乙方的权利和义务</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1、严格按照甲方的设计及要求进行施工，自觉接受甲方的监督，确保施工质量，争创优良的工程。因工程质量不符合要求所造成的损失，均由乙方负责。</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2、做到文明施工、安全施工，对施工现场进行严格管理，严禁违章作业，施工过程中所发生的一切不安全事故均由乙方负责，甲方不承担任何责任。</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三、项目质量验收</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1、项目竣工后由甲方组织验收。</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2、严格按照设计及施工要求进行验收，必须达到施工要求。</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四、结算及开票：</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1、本工程为固定单价合同，现场施工结束后根据实际发生工作量进行结算。</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2、施工结束，验收合格后，乙方根据实际工程量开具  %增值税专用发票后，甲方在7天以内支付完所有费用。</w:t>
      </w:r>
    </w:p>
    <w:p>
      <w:pPr>
        <w:spacing w:line="360" w:lineRule="auto"/>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五、附则</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1、本合同一式两份。</w:t>
      </w:r>
    </w:p>
    <w:p>
      <w:pPr>
        <w:spacing w:line="360" w:lineRule="auto"/>
        <w:ind w:firstLine="640" w:firstLineChars="200"/>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2、本合同经甲乙双方签字盖章后，方可生效。</w:t>
      </w:r>
    </w:p>
    <w:p>
      <w:pPr>
        <w:pStyle w:val="16"/>
        <w:rPr>
          <w:rFonts w:hint="eastAsia" w:ascii="仿宋_GB2312" w:hAnsi="宋体" w:eastAsia="仿宋_GB2312" w:cs="Times New Roman"/>
          <w:kern w:val="2"/>
          <w:sz w:val="32"/>
          <w:szCs w:val="32"/>
          <w:highlight w:val="none"/>
          <w:lang w:val="en-US" w:eastAsia="zh-CN" w:bidi="ar-SA"/>
        </w:rPr>
      </w:pP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甲方（盖章）：                    乙方：</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委托代理人：                     委托代理人：</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账户名称:                        账户名称:</w:t>
      </w:r>
    </w:p>
    <w:p>
      <w:pPr>
        <w:spacing w:line="440" w:lineRule="exact"/>
        <w:jc w:val="both"/>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账户号码:                        账户号码:</w:t>
      </w:r>
    </w:p>
    <w:p>
      <w:pPr>
        <w:pStyle w:val="16"/>
        <w:spacing w:line="440" w:lineRule="exact"/>
        <w:ind w:left="6240" w:hanging="8320" w:hangingChars="26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开户银行:                        开户银行:</w:t>
      </w:r>
    </w:p>
    <w:p>
      <w:pPr>
        <w:pStyle w:val="16"/>
        <w:spacing w:line="440" w:lineRule="exact"/>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年    月   日                     年     月    日</w:t>
      </w:r>
    </w:p>
    <w:p>
      <w:pPr>
        <w:spacing w:before="144" w:line="360" w:lineRule="auto"/>
        <w:ind w:right="10"/>
        <w:rPr>
          <w:rFonts w:ascii="宋体" w:hAnsi="宋体" w:eastAsia="宋体" w:cs="宋体"/>
          <w:sz w:val="18"/>
          <w:szCs w:val="18"/>
          <w:highlight w:val="none"/>
        </w:rPr>
      </w:pP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lang w:val="en-US" w:eastAsia="zh-CN"/>
        </w:rPr>
        <w:t xml:space="preserve">         响应人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hint="eastAsia" w:ascii="宋体" w:hAnsi="宋体" w:cstheme="minorBidi"/>
          <w:b w:val="0"/>
          <w:highlight w:val="none"/>
          <w:lang w:val="en-US"/>
        </w:rPr>
      </w:pPr>
      <w:bookmarkStart w:id="28" w:name="_Toc96584968"/>
      <w:bookmarkStart w:id="29" w:name="_Toc96585094"/>
      <w:r>
        <w:rPr>
          <w:rStyle w:val="29"/>
          <w:rFonts w:hint="eastAsia" w:ascii="宋体" w:hAnsi="宋体" w:cstheme="minorBidi"/>
          <w:b w:val="0"/>
          <w:highlight w:val="none"/>
          <w:lang w:val="en-US"/>
        </w:rPr>
        <w:t>目  录</w:t>
      </w:r>
      <w:bookmarkEnd w:id="28"/>
      <w:bookmarkEnd w:id="29"/>
    </w:p>
    <w:p>
      <w:pPr>
        <w:numPr>
          <w:ilvl w:val="0"/>
          <w:numId w:val="1"/>
        </w:numPr>
        <w:spacing w:line="240" w:lineRule="atLeast"/>
        <w:rPr>
          <w:rFonts w:hint="eastAsia" w:ascii="宋体" w:hAnsi="宋体" w:eastAsia="宋体" w:cs="宋体"/>
          <w:sz w:val="32"/>
          <w:szCs w:val="32"/>
          <w:highlight w:val="none"/>
        </w:rPr>
      </w:pPr>
      <w:bookmarkStart w:id="30" w:name="_Toc256695462"/>
      <w:bookmarkStart w:id="31" w:name="_Toc256691586"/>
      <w:r>
        <w:rPr>
          <w:rFonts w:hint="eastAsia" w:ascii="宋体" w:hAnsi="宋体" w:eastAsia="宋体" w:cs="宋体"/>
          <w:sz w:val="32"/>
          <w:szCs w:val="32"/>
          <w:highlight w:val="none"/>
          <w:lang w:val="en-US" w:eastAsia="zh-CN"/>
        </w:rPr>
        <w:t>响应</w:t>
      </w:r>
      <w:r>
        <w:rPr>
          <w:rFonts w:hint="eastAsia" w:ascii="宋体" w:hAnsi="宋体" w:eastAsia="宋体" w:cs="宋体"/>
          <w:sz w:val="32"/>
          <w:szCs w:val="32"/>
          <w:highlight w:val="none"/>
        </w:rPr>
        <w:t>函</w:t>
      </w:r>
      <w:bookmarkEnd w:id="30"/>
      <w:bookmarkEnd w:id="31"/>
    </w:p>
    <w:p>
      <w:pPr>
        <w:numPr>
          <w:ilvl w:val="0"/>
          <w:numId w:val="1"/>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1588"/>
      <w:bookmarkStart w:id="35" w:name="_Toc256695464"/>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hint="eastAsia" w:ascii="宋体" w:hAnsi="宋体"/>
          <w:b w:val="0"/>
          <w:highlight w:val="none"/>
        </w:rPr>
        <w:t>响应</w:t>
      </w:r>
      <w:r>
        <w:rPr>
          <w:rStyle w:val="29"/>
          <w:rFonts w:ascii="宋体" w:hAnsi="宋体"/>
          <w:b w:val="0"/>
          <w:highlight w:val="none"/>
        </w:rPr>
        <w:t>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响应人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响应人</w:t>
      </w:r>
      <w:r>
        <w:rPr>
          <w:rFonts w:hint="eastAsia" w:ascii="宋体" w:hAnsi="宋体"/>
          <w:sz w:val="32"/>
          <w:szCs w:val="32"/>
          <w:highlight w:val="none"/>
        </w:rPr>
        <w:t>须知规定的全部</w:t>
      </w:r>
      <w:r>
        <w:rPr>
          <w:rFonts w:hint="eastAsia" w:ascii="宋体" w:hAnsi="宋体"/>
          <w:sz w:val="32"/>
          <w:szCs w:val="32"/>
          <w:highlight w:val="none"/>
          <w:lang w:eastAsia="zh-CN"/>
        </w:rPr>
        <w:t>询比文件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询比文件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询比文件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询比文件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询比文件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询比文件</w:t>
      </w:r>
      <w:r>
        <w:rPr>
          <w:rFonts w:hint="eastAsia" w:ascii="宋体" w:hAnsi="宋体"/>
          <w:sz w:val="32"/>
          <w:szCs w:val="32"/>
          <w:highlight w:val="none"/>
        </w:rPr>
        <w:t>的有效期为自递交</w:t>
      </w:r>
      <w:r>
        <w:rPr>
          <w:rFonts w:hint="eastAsia" w:ascii="宋体" w:hAnsi="宋体"/>
          <w:sz w:val="32"/>
          <w:szCs w:val="32"/>
          <w:highlight w:val="none"/>
          <w:lang w:eastAsia="zh-CN"/>
        </w:rPr>
        <w:t>询比文件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询比文件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询比文件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询比文件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询比文件</w:t>
      </w:r>
      <w:r>
        <w:rPr>
          <w:rFonts w:hint="eastAsia" w:ascii="宋体" w:hAnsi="宋体"/>
          <w:sz w:val="32"/>
          <w:szCs w:val="32"/>
          <w:highlight w:val="none"/>
        </w:rPr>
        <w:t>或收到的任何</w:t>
      </w:r>
      <w:r>
        <w:rPr>
          <w:rFonts w:hint="eastAsia" w:ascii="宋体" w:hAnsi="宋体"/>
          <w:sz w:val="32"/>
          <w:szCs w:val="32"/>
          <w:highlight w:val="none"/>
          <w:lang w:eastAsia="zh-CN"/>
        </w:rPr>
        <w:t>询比文件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询比文件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询比文件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询比文件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响应人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响应人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9"/>
        <w:spacing w:line="530" w:lineRule="exact"/>
        <w:rPr>
          <w:rFonts w:hint="eastAsia"/>
          <w:sz w:val="32"/>
          <w:szCs w:val="32"/>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rPr>
          <w:highlight w:val="none"/>
        </w:rPr>
      </w:pPr>
    </w:p>
    <w:p>
      <w:pPr>
        <w:pStyle w:val="8"/>
        <w:rPr>
          <w:highlight w:val="none"/>
        </w:rPr>
      </w:pPr>
    </w:p>
    <w:p>
      <w:pPr>
        <w:pStyle w:val="8"/>
        <w:rPr>
          <w:highlight w:val="none"/>
        </w:rPr>
      </w:pPr>
    </w:p>
    <w:p>
      <w:pPr>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二、</w:t>
      </w:r>
      <w:r>
        <w:rPr>
          <w:rStyle w:val="29"/>
          <w:rFonts w:hint="eastAsia" w:ascii="宋体" w:hAnsi="宋体" w:cstheme="minorBidi"/>
          <w:b w:val="0"/>
          <w:highlight w:val="none"/>
          <w:lang w:val="en-US" w:eastAsia="zh-CN"/>
        </w:rPr>
        <w:t>金坛2×350MW盐穴压缩空气储能发电项目地下工程2口井钻井施工井场围挡建设</w:t>
      </w:r>
      <w:r>
        <w:rPr>
          <w:rStyle w:val="29"/>
          <w:rFonts w:hint="eastAsia" w:ascii="宋体" w:hAnsi="宋体" w:cstheme="minorBidi"/>
          <w:b w:val="0"/>
          <w:highlight w:val="none"/>
          <w:lang w:val="en-US"/>
        </w:rPr>
        <w:t>报价表</w:t>
      </w:r>
    </w:p>
    <w:p>
      <w:pPr>
        <w:pStyle w:val="30"/>
        <w:rPr>
          <w:rFonts w:hint="eastAsia" w:ascii="仿宋_GB2312" w:hAnsi="仿宋_GB2312" w:eastAsia="仿宋_GB2312" w:cs="仿宋_GB2312"/>
          <w:bCs/>
          <w:sz w:val="28"/>
          <w:szCs w:val="28"/>
          <w:highlight w:val="none"/>
          <w:lang w:eastAsia="zh-CN"/>
        </w:rPr>
      </w:pPr>
    </w:p>
    <w:p>
      <w:pPr>
        <w:pStyle w:val="13"/>
        <w:adjustRightInd w:val="0"/>
        <w:snapToGrid w:val="0"/>
        <w:spacing w:line="360" w:lineRule="auto"/>
        <w:jc w:val="center"/>
        <w:outlineLvl w:val="1"/>
        <w:rPr>
          <w:rFonts w:hint="eastAsia" w:hAnsi="Cambria"/>
          <w:b/>
          <w:sz w:val="24"/>
          <w:szCs w:val="24"/>
          <w:highlight w:val="none"/>
        </w:rPr>
      </w:pPr>
      <w:bookmarkStart w:id="36" w:name="_Toc9209"/>
      <w:bookmarkStart w:id="37" w:name="_Toc31897"/>
      <w:bookmarkStart w:id="38" w:name="_Toc1385"/>
      <w:bookmarkStart w:id="39" w:name="_Toc18522"/>
      <w:bookmarkStart w:id="40" w:name="_Toc7392"/>
      <w:r>
        <w:rPr>
          <w:rFonts w:hint="eastAsia" w:hAnsi="Cambria"/>
          <w:b/>
          <w:sz w:val="24"/>
          <w:szCs w:val="24"/>
          <w:highlight w:val="none"/>
        </w:rPr>
        <w:t>报价汇总表</w:t>
      </w:r>
      <w:bookmarkEnd w:id="36"/>
      <w:bookmarkEnd w:id="37"/>
    </w:p>
    <w:bookmarkEnd w:id="38"/>
    <w:bookmarkEnd w:id="39"/>
    <w:bookmarkEnd w:id="40"/>
    <w:tbl>
      <w:tblPr>
        <w:tblStyle w:val="22"/>
        <w:tblpPr w:leftFromText="180" w:rightFromText="180" w:vertAnchor="text" w:horzAnchor="page" w:tblpXSpec="center" w:tblpY="234"/>
        <w:tblOverlap w:val="never"/>
        <w:tblW w:w="8522" w:type="dxa"/>
        <w:jc w:val="center"/>
        <w:tblInd w:w="0" w:type="dxa"/>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井场围挡建设</w:t>
            </w:r>
            <w:r>
              <w:rPr>
                <w:rFonts w:hint="eastAsia" w:hAnsi="宋体" w:cs="宋体"/>
                <w:color w:val="000000"/>
                <w:kern w:val="0"/>
                <w:sz w:val="24"/>
                <w:szCs w:val="24"/>
                <w:highlight w:val="none"/>
                <w:lang w:bidi="ar"/>
              </w:rPr>
              <w:t>报价单</w:t>
            </w:r>
          </w:p>
        </w:tc>
      </w:tr>
      <w:tr>
        <w:tblPrEx>
          <w:tblLayout w:type="fixed"/>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井场围挡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380米*2米高彩钢瓦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760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水罐围挡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100米*2米高彩钢瓦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200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油料区</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50米*2米高彩钢瓦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箱变围挡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35米*2米高彩钢瓦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70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泥浆材料房</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380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sz w:val="24"/>
                <w:szCs w:val="24"/>
                <w:highlight w:val="none"/>
                <w:lang w:eastAsia="zh-CN"/>
              </w:rPr>
            </w:pPr>
            <w:r>
              <w:rPr>
                <w:rFonts w:hint="eastAsia" w:hAnsi="宋体" w:cs="宋体"/>
                <w:color w:val="000000"/>
                <w:kern w:val="0"/>
                <w:sz w:val="24"/>
                <w:szCs w:val="24"/>
                <w:highlight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泥浆材料房（基础浇筑）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5米*20米*0.1米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人行便道</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150米*1.5米*0.1米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门楼</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7米*15米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ascii="Cambria" w:hAnsi="Cambria"/>
                <w:sz w:val="24"/>
                <w:szCs w:val="24"/>
                <w:highlight w:val="none"/>
                <w:lang w:val="en-US" w:eastAsia="zh-CN"/>
              </w:rPr>
              <w:t>根据建设平方面积据实结算</w:t>
            </w:r>
            <w:r>
              <w:rPr>
                <w:rFonts w:hint="eastAsia" w:hAnsi="宋体" w:eastAsia="宋体" w:cs="宋体"/>
                <w:color w:val="000000"/>
                <w:kern w:val="0"/>
                <w:sz w:val="24"/>
                <w:szCs w:val="24"/>
                <w:highlight w:val="none"/>
                <w:lang w:bidi="ar"/>
              </w:rPr>
              <w:t>。</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pPr>
        <w:pStyle w:val="2"/>
        <w:rPr>
          <w:highlight w:val="none"/>
        </w:rPr>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2"/>
        <w:ind w:firstLine="4800" w:firstLineChars="2000"/>
        <w:rPr>
          <w:rFonts w:hint="eastAsia" w:hAnsi="宋体" w:cs="宋体"/>
          <w:color w:val="000000"/>
          <w:kern w:val="0"/>
          <w:sz w:val="24"/>
          <w:szCs w:val="24"/>
          <w:highlight w:val="none"/>
          <w:lang w:val="en-US" w:eastAsia="zh-CN" w:bidi="ar"/>
        </w:rPr>
      </w:pPr>
    </w:p>
    <w:p>
      <w:pPr>
        <w:pStyle w:val="2"/>
        <w:ind w:firstLine="4800" w:firstLineChars="2000"/>
        <w:rPr>
          <w:rFonts w:hint="eastAsia"/>
          <w:highlight w:val="none"/>
          <w:lang w:val="en-US" w:eastAsia="zh-CN"/>
        </w:rPr>
      </w:pPr>
      <w:r>
        <w:rPr>
          <w:rFonts w:hint="eastAsia" w:hAnsi="宋体" w:cs="宋体"/>
          <w:color w:val="000000"/>
          <w:kern w:val="0"/>
          <w:sz w:val="24"/>
          <w:szCs w:val="24"/>
          <w:highlight w:val="none"/>
          <w:lang w:val="en-US" w:eastAsia="zh-CN" w:bidi="ar"/>
        </w:rPr>
        <w:t>日期：</w:t>
      </w:r>
    </w:p>
    <w:p>
      <w:pPr>
        <w:pStyle w:val="8"/>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9"/>
          <w:rFonts w:hint="eastAsia" w:ascii="宋体" w:hAnsi="宋体" w:cstheme="minorBidi"/>
          <w:b w:val="0"/>
          <w:highlight w:val="none"/>
          <w:lang w:val="en-US" w:eastAsia="zh-CN"/>
        </w:rPr>
      </w:pPr>
      <w:bookmarkStart w:id="41" w:name="_Toc1604"/>
      <w:r>
        <w:rPr>
          <w:rStyle w:val="29"/>
          <w:rFonts w:hint="eastAsia" w:ascii="宋体" w:hAnsi="宋体" w:cstheme="minorBidi"/>
          <w:b w:val="0"/>
          <w:highlight w:val="none"/>
          <w:lang w:val="en-US" w:eastAsia="zh-CN"/>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询比文件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询比文件</w:t>
      </w:r>
      <w:r>
        <w:rPr>
          <w:rFonts w:hint="eastAsia" w:ascii="宋体" w:hAnsi="宋体"/>
          <w:szCs w:val="21"/>
          <w:highlight w:val="none"/>
        </w:rPr>
        <w:t>截止时间之前将</w:t>
      </w:r>
      <w:r>
        <w:rPr>
          <w:rFonts w:hint="eastAsia" w:ascii="宋体" w:hAnsi="宋体"/>
          <w:szCs w:val="21"/>
          <w:highlight w:val="none"/>
          <w:lang w:eastAsia="zh-CN"/>
        </w:rPr>
        <w:t>询比文件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响应人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响应人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响应人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2"/>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spacing w:line="360" w:lineRule="auto"/>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9"/>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D73361"/>
    <w:rsid w:val="085D24E6"/>
    <w:rsid w:val="089E491D"/>
    <w:rsid w:val="09AB4631"/>
    <w:rsid w:val="09D4541B"/>
    <w:rsid w:val="0B472137"/>
    <w:rsid w:val="0C3E79DE"/>
    <w:rsid w:val="0C87589C"/>
    <w:rsid w:val="0CCD0B08"/>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6FB67F4"/>
    <w:rsid w:val="1722407E"/>
    <w:rsid w:val="179B5CE4"/>
    <w:rsid w:val="182A6AB6"/>
    <w:rsid w:val="18AA3935"/>
    <w:rsid w:val="18E13BCB"/>
    <w:rsid w:val="18FE652B"/>
    <w:rsid w:val="190C2DD0"/>
    <w:rsid w:val="1B040045"/>
    <w:rsid w:val="1B1F6C2C"/>
    <w:rsid w:val="1B485BA7"/>
    <w:rsid w:val="1BE45A3C"/>
    <w:rsid w:val="1DEA2E20"/>
    <w:rsid w:val="1E096ACF"/>
    <w:rsid w:val="1E9626F5"/>
    <w:rsid w:val="1ED824A4"/>
    <w:rsid w:val="1F642E60"/>
    <w:rsid w:val="1F9C7E78"/>
    <w:rsid w:val="1FB913FE"/>
    <w:rsid w:val="20413D93"/>
    <w:rsid w:val="204A64FA"/>
    <w:rsid w:val="20547378"/>
    <w:rsid w:val="2100305C"/>
    <w:rsid w:val="22D777F4"/>
    <w:rsid w:val="23571659"/>
    <w:rsid w:val="23DC3BD6"/>
    <w:rsid w:val="24612064"/>
    <w:rsid w:val="251C5DB1"/>
    <w:rsid w:val="25987D07"/>
    <w:rsid w:val="25CC175F"/>
    <w:rsid w:val="262F3F07"/>
    <w:rsid w:val="26BC306A"/>
    <w:rsid w:val="26FB054E"/>
    <w:rsid w:val="29F86FC6"/>
    <w:rsid w:val="2A642EB7"/>
    <w:rsid w:val="2A8120EF"/>
    <w:rsid w:val="2A922F77"/>
    <w:rsid w:val="2AB6787F"/>
    <w:rsid w:val="2B2008F4"/>
    <w:rsid w:val="2B473D61"/>
    <w:rsid w:val="2C043A01"/>
    <w:rsid w:val="2E1C77D8"/>
    <w:rsid w:val="2E287309"/>
    <w:rsid w:val="2F3E2306"/>
    <w:rsid w:val="2FCD4A51"/>
    <w:rsid w:val="2FCF2577"/>
    <w:rsid w:val="301B57BD"/>
    <w:rsid w:val="303B5E5F"/>
    <w:rsid w:val="30AF2473"/>
    <w:rsid w:val="31AF3769"/>
    <w:rsid w:val="31D200FD"/>
    <w:rsid w:val="321F240F"/>
    <w:rsid w:val="32221084"/>
    <w:rsid w:val="331E37FE"/>
    <w:rsid w:val="33C20973"/>
    <w:rsid w:val="33EA3E24"/>
    <w:rsid w:val="3416500B"/>
    <w:rsid w:val="349268AC"/>
    <w:rsid w:val="357716E7"/>
    <w:rsid w:val="37164F30"/>
    <w:rsid w:val="37712166"/>
    <w:rsid w:val="3A2B41AB"/>
    <w:rsid w:val="3A414072"/>
    <w:rsid w:val="3B0D471D"/>
    <w:rsid w:val="3C0D04D0"/>
    <w:rsid w:val="3C3B539C"/>
    <w:rsid w:val="3F446ADE"/>
    <w:rsid w:val="3F63082C"/>
    <w:rsid w:val="3F7F8805"/>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D1C99"/>
    <w:rsid w:val="4AE73A21"/>
    <w:rsid w:val="4B0610EB"/>
    <w:rsid w:val="4C03562B"/>
    <w:rsid w:val="4D8B2E35"/>
    <w:rsid w:val="4E3B72FE"/>
    <w:rsid w:val="4EAD5C60"/>
    <w:rsid w:val="4F4026F2"/>
    <w:rsid w:val="4F4331C8"/>
    <w:rsid w:val="4F936840"/>
    <w:rsid w:val="50027507"/>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8E203F9"/>
    <w:rsid w:val="598C4EB2"/>
    <w:rsid w:val="59D02D2F"/>
    <w:rsid w:val="5A493AAE"/>
    <w:rsid w:val="5ABA4F45"/>
    <w:rsid w:val="5B2F1F99"/>
    <w:rsid w:val="5B525948"/>
    <w:rsid w:val="5BA10673"/>
    <w:rsid w:val="5C403D31"/>
    <w:rsid w:val="5CAC44FC"/>
    <w:rsid w:val="5CE565AC"/>
    <w:rsid w:val="5CFE264B"/>
    <w:rsid w:val="5DB96B1E"/>
    <w:rsid w:val="5E9B7945"/>
    <w:rsid w:val="5F0202B7"/>
    <w:rsid w:val="5F5B15CD"/>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73C129F"/>
    <w:rsid w:val="6954706E"/>
    <w:rsid w:val="69DF102E"/>
    <w:rsid w:val="6A2971B4"/>
    <w:rsid w:val="6B030D4C"/>
    <w:rsid w:val="6B2B3DFF"/>
    <w:rsid w:val="6B6C069F"/>
    <w:rsid w:val="6C3A6666"/>
    <w:rsid w:val="6D0B32B6"/>
    <w:rsid w:val="6D0E5786"/>
    <w:rsid w:val="6D415B5B"/>
    <w:rsid w:val="6E054DDB"/>
    <w:rsid w:val="6E5D0773"/>
    <w:rsid w:val="6F63625D"/>
    <w:rsid w:val="707324D0"/>
    <w:rsid w:val="70D25448"/>
    <w:rsid w:val="73216213"/>
    <w:rsid w:val="738B7B30"/>
    <w:rsid w:val="74520C5C"/>
    <w:rsid w:val="74DD616A"/>
    <w:rsid w:val="75453ECE"/>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 w:val="9BBF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qFormat/>
    <w:uiPriority w:val="0"/>
    <w:pPr>
      <w:spacing w:after="120"/>
    </w:pPr>
  </w:style>
  <w:style w:type="paragraph" w:styleId="10">
    <w:name w:val="Body Text 2"/>
    <w:basedOn w:val="1"/>
    <w:qFormat/>
    <w:uiPriority w:val="0"/>
    <w:rPr>
      <w:color w:val="FF0000"/>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rFonts w:ascii="Times New Roman" w:hAnsi="Times New Roman"/>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39"/>
    <w:pPr>
      <w:tabs>
        <w:tab w:val="right" w:leader="dot" w:pos="9020"/>
      </w:tabs>
      <w:spacing w:line="360" w:lineRule="auto"/>
    </w:pPr>
  </w:style>
  <w:style w:type="paragraph" w:styleId="18">
    <w:name w:val="Body Text Indent 3"/>
    <w:basedOn w:val="1"/>
    <w:qFormat/>
    <w:uiPriority w:val="0"/>
    <w:pPr>
      <w:autoSpaceDE/>
      <w:autoSpaceDN/>
      <w:adjustRightInd/>
      <w:spacing w:after="120"/>
      <w:ind w:left="420" w:leftChars="200"/>
      <w:jc w:val="both"/>
    </w:pPr>
    <w:rPr>
      <w:sz w:val="16"/>
      <w:szCs w:val="16"/>
    </w:rPr>
  </w:style>
  <w:style w:type="paragraph" w:styleId="19">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5098</Words>
  <Characters>5360</Characters>
  <Lines>0</Lines>
  <Paragraphs>0</Paragraphs>
  <TotalTime>28</TotalTime>
  <ScaleCrop>false</ScaleCrop>
  <LinksUpToDate>false</LinksUpToDate>
  <CharactersWithSpaces>6279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2023-03-13T03:20:00Z</dcterms:created>
  <dc:creator>乔辰生</dc:creator>
  <cp:lastModifiedBy>梦里花落U知多少</cp:lastModifiedBy>
  <dcterms:modified xsi:type="dcterms:W3CDTF">2024-12-06T09:17:54Z</dcterms:modified>
  <dc:title>陈3井、陈4井、陈5井老腔改造项目井场围挡建设施工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3767DA0C5FDB49EBBCCC316760BB0D61_13</vt:lpwstr>
  </property>
</Properties>
</file>