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val="0"/>
        <w:spacing w:before="0" w:after="0" w:line="360" w:lineRule="auto"/>
        <w:rPr>
          <w:kern w:val="2"/>
          <w:highlight w:val="none"/>
        </w:rPr>
      </w:pPr>
      <w:bookmarkStart w:id="0" w:name="_Toc67627991"/>
      <w:r>
        <w:rPr>
          <w:rFonts w:hint="eastAsia"/>
          <w:kern w:val="2"/>
          <w:highlight w:val="none"/>
        </w:rPr>
        <w:t xml:space="preserve"> </w:t>
      </w:r>
    </w:p>
    <w:p>
      <w:pPr>
        <w:spacing w:line="360" w:lineRule="auto"/>
        <w:jc w:val="center"/>
        <w:rPr>
          <w:rFonts w:ascii="宋体" w:hAnsi="宋体"/>
          <w:b/>
          <w:highlight w:val="none"/>
        </w:rPr>
      </w:pPr>
    </w:p>
    <w:p>
      <w:pPr>
        <w:spacing w:line="660" w:lineRule="exact"/>
        <w:jc w:val="center"/>
        <w:rPr>
          <w:rFonts w:ascii="方正小标宋简体" w:hAnsi="宋体" w:eastAsia="方正小标宋简体"/>
          <w:sz w:val="44"/>
          <w:szCs w:val="44"/>
          <w:highlight w:val="none"/>
        </w:rPr>
      </w:pPr>
      <w:r>
        <w:rPr>
          <w:rFonts w:hint="eastAsia" w:ascii="方正小标宋简体" w:hAnsi="宋体" w:eastAsia="方正小标宋简体"/>
          <w:color w:val="auto"/>
          <w:sz w:val="44"/>
          <w:szCs w:val="44"/>
          <w:highlight w:val="none"/>
        </w:rPr>
        <w:t>中煤长江地质集团有限公司</w:t>
      </w:r>
      <w:r>
        <w:rPr>
          <w:rFonts w:hint="eastAsia" w:ascii="方正小标宋简体" w:hAnsi="宋体" w:eastAsia="方正小标宋简体"/>
          <w:color w:val="auto"/>
          <w:sz w:val="44"/>
          <w:szCs w:val="44"/>
          <w:highlight w:val="none"/>
          <w:lang w:val="en-US" w:eastAsia="zh-CN"/>
        </w:rPr>
        <w:t>金坛2×350MW盐穴压缩空气储能发电项目地下工程2口井钻井施工项目</w:t>
      </w:r>
      <w:r>
        <w:rPr>
          <w:rFonts w:hint="eastAsia" w:ascii="方正小标宋简体" w:hAnsi="宋体" w:eastAsia="方正小标宋简体"/>
          <w:sz w:val="44"/>
          <w:szCs w:val="44"/>
          <w:highlight w:val="none"/>
        </w:rPr>
        <w:t>成品套管采购</w:t>
      </w: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竞争谈判文件</w:t>
      </w:r>
    </w:p>
    <w:p>
      <w:pPr>
        <w:spacing w:line="360" w:lineRule="auto"/>
        <w:rPr>
          <w:rFonts w:hint="eastAsia" w:ascii="宋体" w:hAnsi="宋体" w:eastAsia="仿宋_GB2312"/>
          <w:b/>
          <w:sz w:val="44"/>
          <w:szCs w:val="44"/>
          <w:highlight w:val="none"/>
        </w:rPr>
      </w:pPr>
      <w:r>
        <w:rPr>
          <w:rFonts w:hint="eastAsia" w:ascii="黑体" w:hAnsi="宋体" w:eastAsia="黑体"/>
          <w:b/>
          <w:sz w:val="96"/>
          <w:highlight w:val="none"/>
        </w:rPr>
        <w:t xml:space="preserve"> </w:t>
      </w:r>
      <w:r>
        <w:rPr>
          <w:rFonts w:hint="eastAsia" w:ascii="宋体" w:hAnsi="宋体"/>
          <w:b/>
          <w:sz w:val="44"/>
          <w:szCs w:val="44"/>
          <w:highlight w:val="none"/>
        </w:rPr>
        <w:t xml:space="preserve">     采购编号：ZMCJ03CG20240194</w:t>
      </w: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rPr>
          <w:rFonts w:ascii="宋体" w:hAnsi="宋体"/>
          <w:sz w:val="32"/>
          <w:highlight w:val="none"/>
        </w:rPr>
      </w:pPr>
    </w:p>
    <w:p>
      <w:pPr>
        <w:pStyle w:val="6"/>
        <w:rPr>
          <w:highlight w:val="none"/>
        </w:rPr>
      </w:pPr>
    </w:p>
    <w:p>
      <w:pPr>
        <w:pStyle w:val="7"/>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jc w:val="center"/>
        <w:rPr>
          <w:rFonts w:ascii="宋体" w:hAnsi="宋体"/>
          <w:highlight w:val="none"/>
        </w:rPr>
      </w:pPr>
    </w:p>
    <w:p>
      <w:pPr>
        <w:pStyle w:val="24"/>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p>
      <w:pPr>
        <w:pStyle w:val="8"/>
        <w:rPr>
          <w:highlight w:val="none"/>
        </w:rPr>
      </w:pPr>
    </w:p>
    <w:bookmarkEnd w:id="0"/>
    <w:p>
      <w:pPr>
        <w:spacing w:line="660" w:lineRule="exact"/>
        <w:jc w:val="center"/>
        <w:rPr>
          <w:rFonts w:ascii="方正小标宋简体" w:hAnsi="仿宋_GB2312" w:eastAsia="方正小标宋简体"/>
          <w:b w:val="0"/>
          <w:bCs/>
          <w:color w:val="000000"/>
          <w:szCs w:val="44"/>
          <w:highlight w:val="none"/>
        </w:rPr>
      </w:pPr>
      <w:bookmarkStart w:id="1" w:name="_Toc20708"/>
      <w:r>
        <w:rPr>
          <w:rFonts w:hint="eastAsia" w:ascii="方正小标宋简体" w:hAnsi="宋体" w:eastAsia="方正小标宋简体"/>
          <w:color w:val="auto"/>
          <w:sz w:val="44"/>
          <w:szCs w:val="44"/>
          <w:highlight w:val="none"/>
        </w:rPr>
        <w:t>第一章</w:t>
      </w:r>
      <w:bookmarkStart w:id="2" w:name="_Toc8924"/>
      <w:bookmarkStart w:id="3" w:name="_Toc24572"/>
      <w:r>
        <w:rPr>
          <w:rFonts w:hint="eastAsia" w:ascii="方正小标宋简体" w:hAnsi="宋体" w:eastAsia="方正小标宋简体"/>
          <w:color w:val="auto"/>
          <w:sz w:val="44"/>
          <w:szCs w:val="44"/>
          <w:highlight w:val="none"/>
          <w:lang w:val="en-US" w:eastAsia="zh-CN"/>
        </w:rPr>
        <w:t xml:space="preserve"> 金坛2×350MW盐穴压缩空气储能发电项目地下工程2口井钻井施工项目</w:t>
      </w:r>
      <w:r>
        <w:rPr>
          <w:rFonts w:hint="eastAsia" w:ascii="方正小标宋简体" w:hAnsi="宋体" w:eastAsia="方正小标宋简体"/>
          <w:sz w:val="44"/>
          <w:szCs w:val="44"/>
          <w:highlight w:val="none"/>
        </w:rPr>
        <w:t>成品套管</w:t>
      </w:r>
      <w:r>
        <w:rPr>
          <w:rFonts w:hint="eastAsia" w:ascii="方正小标宋简体" w:hAnsi="宋体" w:eastAsia="方正小标宋简体"/>
          <w:color w:val="auto"/>
          <w:sz w:val="44"/>
          <w:szCs w:val="44"/>
          <w:highlight w:val="none"/>
          <w:lang w:val="en-US" w:eastAsia="zh-CN"/>
        </w:rPr>
        <w:t>采购竞争谈判公告</w:t>
      </w:r>
      <w:bookmarkEnd w:id="1"/>
      <w:bookmarkEnd w:id="2"/>
      <w:bookmarkEnd w:id="3"/>
    </w:p>
    <w:p>
      <w:pPr>
        <w:rPr>
          <w:highlight w:val="none"/>
        </w:rPr>
      </w:pPr>
    </w:p>
    <w:p>
      <w:pPr>
        <w:spacing w:line="560" w:lineRule="exact"/>
        <w:ind w:firstLine="640" w:firstLineChars="200"/>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金坛2×350MW盐穴压缩空气储能发电项目地下工程2口井钻井施工项目成品套管采购已具备采购条件，采购人为江苏长江地质勘查院，现对该项目成品套管采取竞争谈判方式采购，就有关事项说明如下：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pPr>
        <w:spacing w:line="660" w:lineRule="exact"/>
        <w:ind w:firstLine="640" w:firstLineChars="200"/>
        <w:jc w:val="left"/>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1.项目名称：金坛2×350MW盐穴压缩空气储能发电项目地下工程2口井钻井施工项目成品套管</w:t>
      </w:r>
    </w:p>
    <w:p>
      <w:pPr>
        <w:pStyle w:val="19"/>
        <w:widowControl/>
        <w:shd w:val="clear" w:color="auto" w:fill="FFFFFF"/>
        <w:spacing w:beforeAutospacing="0" w:afterAutospacing="0" w:line="560" w:lineRule="exact"/>
        <w:ind w:firstLine="640" w:firstLineChars="200"/>
        <w:rPr>
          <w:rFonts w:hint="eastAsia" w:ascii="宋体" w:hAnsi="宋体" w:eastAsia="仿宋_GB2312"/>
          <w:sz w:val="32"/>
          <w:szCs w:val="32"/>
          <w:highlight w:val="none"/>
          <w:lang w:val="en-US" w:eastAsia="zh-CN"/>
        </w:rPr>
      </w:pPr>
      <w:r>
        <w:rPr>
          <w:rFonts w:hint="eastAsia" w:ascii="仿宋_GB2312" w:hAnsi="宋体" w:eastAsia="仿宋_GB2312"/>
          <w:snapToGrid w:val="0"/>
          <w:kern w:val="2"/>
          <w:sz w:val="32"/>
          <w:szCs w:val="32"/>
          <w:highlight w:val="none"/>
        </w:rPr>
        <w:t>2.项目地点：江苏省常州市金坛区</w:t>
      </w:r>
      <w:r>
        <w:rPr>
          <w:rFonts w:hint="eastAsia" w:ascii="仿宋_GB2312" w:hAnsi="宋体" w:eastAsia="仿宋_GB2312"/>
          <w:snapToGrid w:val="0"/>
          <w:kern w:val="2"/>
          <w:sz w:val="32"/>
          <w:szCs w:val="32"/>
          <w:highlight w:val="none"/>
          <w:lang w:val="en-US" w:eastAsia="zh-CN"/>
        </w:rPr>
        <w:t>直溪镇</w:t>
      </w:r>
    </w:p>
    <w:p>
      <w:pPr>
        <w:widowControl/>
        <w:ind w:firstLine="640" w:firstLineChars="200"/>
        <w:jc w:val="left"/>
        <w:textAlignment w:val="center"/>
        <w:rPr>
          <w:rFonts w:hint="default" w:eastAsia="仿宋_GB2312"/>
          <w:highlight w:val="none"/>
          <w:lang w:val="en-US" w:eastAsia="zh-CN"/>
        </w:rPr>
      </w:pPr>
      <w:r>
        <w:rPr>
          <w:rFonts w:hint="eastAsia" w:ascii="仿宋_GB2312" w:hAnsi="宋体" w:eastAsia="仿宋_GB2312"/>
          <w:snapToGrid w:val="0"/>
          <w:kern w:val="2"/>
          <w:sz w:val="32"/>
          <w:szCs w:val="32"/>
          <w:highlight w:val="none"/>
        </w:rPr>
        <w:t>3.供货时间：</w:t>
      </w:r>
      <w:r>
        <w:rPr>
          <w:rFonts w:hint="eastAsia" w:ascii="仿宋_GB2312" w:hAnsi="宋体" w:eastAsia="仿宋_GB2312"/>
          <w:snapToGrid w:val="0"/>
          <w:kern w:val="2"/>
          <w:sz w:val="32"/>
          <w:szCs w:val="32"/>
          <w:highlight w:val="none"/>
          <w:lang w:val="en-US" w:eastAsia="zh-CN"/>
        </w:rPr>
        <w:t>2025年2月9日前发送货物到江苏省常州市金坛区直溪镇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4.采购数量：</w:t>
      </w:r>
    </w:p>
    <w:tbl>
      <w:tblPr>
        <w:tblStyle w:val="21"/>
        <w:tblW w:w="8623" w:type="dxa"/>
        <w:tblInd w:w="0" w:type="dxa"/>
        <w:tblLayout w:type="fixed"/>
        <w:tblCellMar>
          <w:top w:w="0" w:type="dxa"/>
          <w:left w:w="108" w:type="dxa"/>
          <w:bottom w:w="0" w:type="dxa"/>
          <w:right w:w="108" w:type="dxa"/>
        </w:tblCellMar>
      </w:tblPr>
      <w:tblGrid>
        <w:gridCol w:w="1384"/>
        <w:gridCol w:w="3402"/>
        <w:gridCol w:w="2268"/>
        <w:gridCol w:w="1569"/>
      </w:tblGrid>
      <w:tr>
        <w:tblPrEx>
          <w:tblLayout w:type="fixed"/>
          <w:tblCellMar>
            <w:top w:w="0" w:type="dxa"/>
            <w:left w:w="108" w:type="dxa"/>
            <w:bottom w:w="0" w:type="dxa"/>
            <w:right w:w="108" w:type="dxa"/>
          </w:tblCellMar>
        </w:tblPrEx>
        <w:trPr>
          <w:trHeight w:val="458"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材料名称</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规格型号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default" w:ascii="宋体" w:hAnsi="宋体" w:eastAsia="宋体" w:cs="宋体"/>
                <w:b/>
                <w:bCs/>
                <w:kern w:val="0"/>
                <w:sz w:val="28"/>
                <w:szCs w:val="28"/>
                <w:highlight w:val="none"/>
                <w:lang w:val="en-US" w:eastAsia="zh-CN"/>
              </w:rPr>
            </w:pPr>
            <w:r>
              <w:rPr>
                <w:rFonts w:hint="eastAsia" w:ascii="宋体" w:hAnsi="宋体" w:cs="宋体"/>
                <w:b/>
                <w:bCs/>
                <w:kern w:val="0"/>
                <w:sz w:val="28"/>
                <w:szCs w:val="28"/>
                <w:highlight w:val="none"/>
              </w:rPr>
              <w:t>预计</w:t>
            </w:r>
            <w:r>
              <w:rPr>
                <w:rFonts w:hint="eastAsia" w:ascii="宋体" w:hAnsi="宋体" w:cs="宋体"/>
                <w:b/>
                <w:bCs/>
                <w:kern w:val="0"/>
                <w:sz w:val="28"/>
                <w:szCs w:val="28"/>
                <w:highlight w:val="none"/>
                <w:lang w:val="en-US" w:eastAsia="zh-CN"/>
              </w:rPr>
              <w:t>数量（吨）</w:t>
            </w: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米数要求</w:t>
            </w:r>
          </w:p>
        </w:tc>
      </w:tr>
      <w:tr>
        <w:tblPrEx>
          <w:tblLayout w:type="fixed"/>
          <w:tblCellMar>
            <w:top w:w="0" w:type="dxa"/>
            <w:left w:w="108" w:type="dxa"/>
            <w:bottom w:w="0" w:type="dxa"/>
            <w:right w:w="108" w:type="dxa"/>
          </w:tblCellMar>
        </w:tblPrEx>
        <w:trPr>
          <w:trHeight w:val="1081"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eastAsia="宋体"/>
                <w:highlight w:val="none"/>
                <w:lang w:val="en-US" w:eastAsia="zh-CN" w:bidi="ar"/>
              </w:rPr>
            </w:pPr>
            <w:r>
              <w:rPr>
                <w:rStyle w:val="33"/>
                <w:rFonts w:hint="eastAsia"/>
                <w:highlight w:val="none"/>
                <w:lang w:val="en-US" w:eastAsia="zh-CN" w:bidi="ar"/>
              </w:rPr>
              <w:t>339.7mm气密扣套管</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339.7</w:t>
            </w:r>
            <w:r>
              <w:rPr>
                <w:rStyle w:val="33"/>
                <w:rFonts w:hint="eastAsia"/>
                <w:highlight w:val="none"/>
                <w:lang w:bidi="ar"/>
              </w:rPr>
              <w:t>mm*</w:t>
            </w:r>
            <w:r>
              <w:rPr>
                <w:rStyle w:val="33"/>
                <w:rFonts w:hint="eastAsia"/>
                <w:highlight w:val="none"/>
                <w:lang w:val="en-US" w:eastAsia="zh-CN" w:bidi="ar"/>
              </w:rPr>
              <w:t>13.06</w:t>
            </w:r>
            <w:r>
              <w:rPr>
                <w:rStyle w:val="33"/>
                <w:rFonts w:hint="eastAsia"/>
                <w:highlight w:val="none"/>
                <w:lang w:bidi="ar"/>
              </w:rPr>
              <w:t>mm</w:t>
            </w:r>
            <w:r>
              <w:rPr>
                <w:rStyle w:val="33"/>
                <w:rFonts w:hint="eastAsia"/>
                <w:highlight w:val="none"/>
                <w:lang w:val="en-US" w:eastAsia="zh-CN" w:bidi="ar"/>
              </w:rPr>
              <w:t xml:space="preserve"> </w:t>
            </w:r>
          </w:p>
          <w:p>
            <w:pPr>
              <w:widowControl/>
              <w:jc w:val="center"/>
              <w:textAlignment w:val="center"/>
              <w:rPr>
                <w:rStyle w:val="33"/>
                <w:rFonts w:hint="eastAsia" w:eastAsia="宋体"/>
                <w:highlight w:val="none"/>
                <w:lang w:val="en-US" w:eastAsia="zh-CN" w:bidi="ar"/>
              </w:rPr>
            </w:pPr>
            <w:r>
              <w:rPr>
                <w:rStyle w:val="33"/>
                <w:rFonts w:hint="eastAsia"/>
                <w:highlight w:val="none"/>
                <w:lang w:val="en-US" w:eastAsia="zh-CN" w:bidi="ar"/>
              </w:rPr>
              <w:t>钢级</w:t>
            </w:r>
            <w:r>
              <w:rPr>
                <w:rStyle w:val="33"/>
                <w:rFonts w:hint="eastAsia"/>
                <w:highlight w:val="none"/>
                <w:lang w:eastAsia="zh-CN" w:bidi="ar"/>
              </w:rPr>
              <w:t>：</w:t>
            </w:r>
            <w:r>
              <w:rPr>
                <w:rStyle w:val="33"/>
                <w:rFonts w:hint="eastAsia"/>
                <w:highlight w:val="none"/>
                <w:lang w:val="en-US" w:eastAsia="zh-CN" w:bidi="ar"/>
              </w:rPr>
              <w:t>P110 扣型：气密扣</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eastAsia="宋体"/>
                <w:highlight w:val="none"/>
                <w:lang w:val="en-US" w:eastAsia="zh-CN" w:bidi="ar"/>
              </w:rPr>
            </w:pPr>
            <w:r>
              <w:rPr>
                <w:rStyle w:val="33"/>
                <w:rFonts w:hint="eastAsia"/>
                <w:highlight w:val="none"/>
                <w:lang w:val="en-US" w:eastAsia="zh-CN" w:bidi="ar"/>
              </w:rPr>
              <w:t>226.26</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eastAsia="宋体"/>
                <w:highlight w:val="none"/>
                <w:lang w:val="en-US" w:eastAsia="zh-CN" w:bidi="ar"/>
              </w:rPr>
            </w:pPr>
            <w:r>
              <w:rPr>
                <w:rStyle w:val="33"/>
                <w:rFonts w:hint="eastAsia"/>
                <w:highlight w:val="none"/>
                <w:lang w:val="en-US" w:eastAsia="zh-CN" w:bidi="ar"/>
              </w:rPr>
              <w:t>二开2口井保证2070</w:t>
            </w:r>
            <w:r>
              <w:rPr>
                <w:rStyle w:val="33"/>
                <w:rFonts w:hint="default"/>
                <w:highlight w:val="none"/>
                <w:lang w:bidi="ar"/>
              </w:rPr>
              <w:t>m</w:t>
            </w:r>
            <w:r>
              <w:rPr>
                <w:rStyle w:val="33"/>
                <w:rFonts w:hint="eastAsia"/>
                <w:highlight w:val="none"/>
                <w:lang w:val="en-US" w:eastAsia="zh-CN" w:bidi="ar"/>
              </w:rPr>
              <w:t>采购需求</w:t>
            </w:r>
          </w:p>
        </w:tc>
      </w:tr>
      <w:tr>
        <w:tblPrEx>
          <w:tblLayout w:type="fixed"/>
          <w:tblCellMar>
            <w:top w:w="0" w:type="dxa"/>
            <w:left w:w="108" w:type="dxa"/>
            <w:bottom w:w="0" w:type="dxa"/>
            <w:right w:w="108" w:type="dxa"/>
          </w:tblCellMar>
        </w:tblPrEx>
        <w:trPr>
          <w:trHeight w:val="1081"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339.7mm耐高压氧腐蚀熔覆焊合金管(气密封扣)</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339.7</w:t>
            </w:r>
            <w:r>
              <w:rPr>
                <w:rStyle w:val="33"/>
                <w:rFonts w:hint="eastAsia"/>
                <w:highlight w:val="none"/>
                <w:lang w:bidi="ar"/>
              </w:rPr>
              <w:t>mm*</w:t>
            </w:r>
            <w:r>
              <w:rPr>
                <w:rStyle w:val="33"/>
                <w:rFonts w:hint="eastAsia"/>
                <w:highlight w:val="none"/>
                <w:lang w:val="en-US" w:eastAsia="zh-CN" w:bidi="ar"/>
              </w:rPr>
              <w:t>13.06</w:t>
            </w:r>
            <w:r>
              <w:rPr>
                <w:rStyle w:val="33"/>
                <w:rFonts w:hint="eastAsia"/>
                <w:highlight w:val="none"/>
                <w:lang w:bidi="ar"/>
              </w:rPr>
              <w:t>mm</w:t>
            </w:r>
            <w:r>
              <w:rPr>
                <w:rStyle w:val="33"/>
                <w:rFonts w:hint="eastAsia"/>
                <w:highlight w:val="none"/>
                <w:lang w:val="en-US" w:eastAsia="zh-CN" w:bidi="ar"/>
              </w:rPr>
              <w:t xml:space="preserve"> </w:t>
            </w:r>
          </w:p>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钢级</w:t>
            </w:r>
            <w:r>
              <w:rPr>
                <w:rStyle w:val="33"/>
                <w:rFonts w:hint="eastAsia"/>
                <w:highlight w:val="none"/>
                <w:lang w:eastAsia="zh-CN" w:bidi="ar"/>
              </w:rPr>
              <w:t>：</w:t>
            </w:r>
            <w:r>
              <w:rPr>
                <w:rStyle w:val="33"/>
                <w:rFonts w:hint="eastAsia"/>
                <w:highlight w:val="none"/>
                <w:lang w:val="en-US" w:eastAsia="zh-CN" w:bidi="ar"/>
              </w:rPr>
              <w:t>P110 扣型：气密扣</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2.14</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耐高压氧腐蚀熔覆焊合金管2根，20m</w:t>
            </w:r>
          </w:p>
        </w:tc>
      </w:tr>
      <w:tr>
        <w:tblPrEx>
          <w:tblLayout w:type="fixed"/>
          <w:tblCellMar>
            <w:top w:w="0" w:type="dxa"/>
            <w:left w:w="108" w:type="dxa"/>
            <w:bottom w:w="0" w:type="dxa"/>
            <w:right w:w="108" w:type="dxa"/>
          </w:tblCellMar>
        </w:tblPrEx>
        <w:trPr>
          <w:trHeight w:val="600" w:hRule="atLeast"/>
        </w:trPr>
        <w:tc>
          <w:tcPr>
            <w:tcW w:w="86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sz w:val="21"/>
                <w:highlight w:val="none"/>
              </w:rPr>
            </w:pPr>
            <w:r>
              <w:rPr>
                <w:rFonts w:hint="eastAsia"/>
                <w:highlight w:val="none"/>
              </w:rPr>
              <w:t>备注：上述采购数量以现场需求米数要求为准，据实结算。（套管重</w:t>
            </w:r>
            <w:r>
              <w:rPr>
                <w:rFonts w:hint="eastAsia"/>
                <w:highlight w:val="none"/>
                <w:lang w:val="en-US" w:eastAsia="zh-CN"/>
              </w:rPr>
              <w:t>量</w:t>
            </w:r>
            <w:r>
              <w:rPr>
                <w:rFonts w:hint="eastAsia"/>
                <w:highlight w:val="none"/>
              </w:rPr>
              <w:t>作为供货质量复核重要依据）</w:t>
            </w:r>
          </w:p>
        </w:tc>
      </w:tr>
    </w:tbl>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5.本批次套管厂家要求为宝钢，其他钢厂的均视为无效响应。</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.质量保证：</w:t>
      </w:r>
      <w:r>
        <w:rPr>
          <w:rFonts w:hint="eastAsia" w:ascii="仿宋_GB2312" w:hAnsi="仿宋_GB2312" w:eastAsia="仿宋_GB2312" w:cs="仿宋_GB2312"/>
          <w:snapToGrid w:val="0"/>
          <w:kern w:val="2"/>
          <w:sz w:val="32"/>
          <w:szCs w:val="32"/>
          <w:highlight w:val="none"/>
        </w:rPr>
        <w:t>谈判响应人</w:t>
      </w:r>
      <w:r>
        <w:rPr>
          <w:rFonts w:hint="eastAsia" w:ascii="仿宋_GB2312" w:hAnsi="宋体" w:eastAsia="仿宋_GB2312"/>
          <w:snapToGrid w:val="0"/>
          <w:kern w:val="2"/>
          <w:sz w:val="32"/>
          <w:szCs w:val="32"/>
          <w:highlight w:val="none"/>
        </w:rPr>
        <w:t>产品应满足《</w:t>
      </w:r>
      <w:r>
        <w:rPr>
          <w:rFonts w:hint="eastAsia" w:ascii="仿宋_GB2312" w:hAnsi="宋体" w:eastAsia="仿宋_GB2312"/>
          <w:snapToGrid w:val="0"/>
          <w:kern w:val="2"/>
          <w:sz w:val="32"/>
          <w:szCs w:val="32"/>
          <w:highlight w:val="none"/>
          <w:lang w:val="en-US" w:eastAsia="zh-CN"/>
        </w:rPr>
        <w:t>竞争谈判</w:t>
      </w:r>
      <w:r>
        <w:rPr>
          <w:rFonts w:hint="eastAsia" w:ascii="仿宋_GB2312" w:hAnsi="宋体" w:eastAsia="仿宋_GB2312"/>
          <w:snapToGrid w:val="0"/>
          <w:kern w:val="2"/>
          <w:sz w:val="32"/>
          <w:szCs w:val="32"/>
          <w:highlight w:val="none"/>
        </w:rPr>
        <w:t>文件》要求，成品套管符合国家标准。</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 xml:space="preserve">.交货磅差：±3‰ </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.项目编号：ZMCJ03CG20240194</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.中标通知方式：书面通知中标人。</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.评标办法：综合评分法。</w:t>
      </w:r>
    </w:p>
    <w:p>
      <w:pPr>
        <w:pStyle w:val="19"/>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12.项目性质：货物类</w:t>
      </w:r>
      <w:r>
        <w:rPr>
          <w:rFonts w:hint="eastAsia" w:ascii="仿宋_GB2312" w:hAnsi="宋体" w:eastAsia="仿宋_GB2312" w:cs="Times New Roman"/>
          <w:snapToGrid w:val="0"/>
          <w:kern w:val="2"/>
          <w:sz w:val="32"/>
          <w:szCs w:val="32"/>
          <w:highlight w:val="none"/>
          <w:lang w:val="en-US" w:eastAsia="zh-CN" w:bidi="ar-SA"/>
        </w:rPr>
        <w:t>成品套管</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.其他要求详见谈判文件。</w:t>
      </w:r>
    </w:p>
    <w:p>
      <w:pPr>
        <w:pStyle w:val="19"/>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1.营业范围要求:谈判响应人应为在中华人民共和国境内注册的独立法人，具有独立承担民事责任能力，须提供具有合法、有效的“三证合一”的营业执照。</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2.财务要求： 谈判响应人有依法纳税的良好记录，财务、资信状况良好，满足履行本项目的需要。</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 业绩要求： 2021 年 01 月 01 日至投标截止时间提供成品套管销售业绩的合同。</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4.本批次套管厂家要求为宝钢，能提供宝钢套管的生产商及其经销商均可参与，其他钢厂的均视为无效响应。</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.谈判响应人不得与采购方存在利益关系，包括但不限于采购方领导和关键岗位人员持有谈判响应人股权、在谈判响应人中任职、存在亲属关系等。</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 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竞争谈判公告、竞争谈判文件及有关补遗和答疑文件相关事项在</w:t>
      </w:r>
      <w:r>
        <w:rPr>
          <w:rFonts w:hint="eastAsia" w:ascii="仿宋_GB2312" w:hAnsi="宋体" w:eastAsia="仿宋_GB2312"/>
          <w:snapToGrid w:val="0"/>
          <w:kern w:val="2"/>
          <w:sz w:val="32"/>
          <w:szCs w:val="32"/>
          <w:highlight w:val="none"/>
          <w:lang w:val="en-US" w:eastAsia="zh-CN"/>
        </w:rPr>
        <w:t>江苏长江地质勘查院网站</w:t>
      </w:r>
      <w:r>
        <w:rPr>
          <w:rFonts w:hint="eastAsia" w:ascii="仿宋_GB2312" w:hAnsi="宋体" w:eastAsia="仿宋_GB2312"/>
          <w:snapToGrid w:val="0"/>
          <w:kern w:val="2"/>
          <w:sz w:val="32"/>
          <w:szCs w:val="32"/>
          <w:highlight w:val="none"/>
        </w:rPr>
        <w:t>发布。</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仿宋_GB2312" w:eastAsia="仿宋_GB2312" w:cs="仿宋_GB2312"/>
          <w:sz w:val="32"/>
          <w:szCs w:val="32"/>
          <w:highlight w:val="none"/>
          <w:lang w:val="en-US" w:eastAsia="zh-CN"/>
        </w:rPr>
        <w:t>响应人自行在官网下载采购文件</w:t>
      </w:r>
      <w:r>
        <w:rPr>
          <w:rFonts w:hint="eastAsia" w:ascii="仿宋_GB2312" w:hAnsi="宋体" w:eastAsia="仿宋_GB2312"/>
          <w:snapToGrid w:val="0"/>
          <w:kern w:val="2"/>
          <w:sz w:val="32"/>
          <w:szCs w:val="32"/>
          <w:highlight w:val="none"/>
        </w:rPr>
        <w:t>，请于2024年</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月</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日至2024年</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月</w:t>
      </w:r>
      <w:r>
        <w:rPr>
          <w:rFonts w:hint="eastAsia" w:ascii="仿宋_GB2312" w:hAnsi="宋体" w:eastAsia="仿宋_GB2312"/>
          <w:snapToGrid w:val="0"/>
          <w:kern w:val="2"/>
          <w:sz w:val="32"/>
          <w:szCs w:val="32"/>
          <w:highlight w:val="none"/>
          <w:lang w:val="en-US" w:eastAsia="zh-CN"/>
        </w:rPr>
        <w:t>18</w:t>
      </w:r>
      <w:r>
        <w:rPr>
          <w:rFonts w:hint="eastAsia" w:ascii="仿宋_GB2312" w:hAnsi="宋体" w:eastAsia="仿宋_GB2312"/>
          <w:snapToGrid w:val="0"/>
          <w:kern w:val="2"/>
          <w:sz w:val="32"/>
          <w:szCs w:val="32"/>
          <w:highlight w:val="none"/>
        </w:rPr>
        <w:t>日1</w:t>
      </w:r>
      <w:r>
        <w:rPr>
          <w:rFonts w:hint="eastAsia" w:ascii="仿宋_GB2312" w:hAnsi="宋体" w:eastAsia="仿宋_GB2312"/>
          <w:snapToGrid w:val="0"/>
          <w:kern w:val="2"/>
          <w:sz w:val="32"/>
          <w:szCs w:val="32"/>
          <w:highlight w:val="none"/>
          <w:lang w:val="en-US" w:eastAsia="zh-CN"/>
        </w:rPr>
        <w:t>0</w:t>
      </w:r>
      <w:r>
        <w:rPr>
          <w:rFonts w:hint="eastAsia" w:ascii="仿宋_GB2312" w:hAnsi="宋体" w:eastAsia="仿宋_GB2312"/>
          <w:snapToGrid w:val="0"/>
          <w:kern w:val="2"/>
          <w:sz w:val="32"/>
          <w:szCs w:val="32"/>
          <w:highlight w:val="none"/>
        </w:rPr>
        <w:t>：00，将</w:t>
      </w:r>
      <w:r>
        <w:rPr>
          <w:rFonts w:hint="eastAsia" w:ascii="仿宋_GB2312" w:hAnsi="宋体" w:eastAsia="仿宋_GB2312"/>
          <w:snapToGrid w:val="0"/>
          <w:kern w:val="2"/>
          <w:sz w:val="32"/>
          <w:szCs w:val="32"/>
          <w:highlight w:val="none"/>
          <w:lang w:val="en-US" w:eastAsia="zh-CN"/>
        </w:rPr>
        <w:t>响应</w:t>
      </w:r>
      <w:r>
        <w:rPr>
          <w:rFonts w:hint="eastAsia" w:ascii="仿宋_GB2312" w:hAnsi="宋体" w:eastAsia="仿宋_GB2312"/>
          <w:snapToGrid w:val="0"/>
          <w:kern w:val="2"/>
          <w:sz w:val="32"/>
          <w:szCs w:val="32"/>
          <w:highlight w:val="none"/>
        </w:rPr>
        <w:t>材料邮寄或者人工送达的方式，送至送至南京市栖霞区尧新大道5号前院515室。</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2.开标：2024年</w:t>
      </w:r>
      <w:r>
        <w:rPr>
          <w:rFonts w:hint="eastAsia" w:ascii="仿宋_GB2312" w:hAnsi="宋体" w:eastAsia="仿宋_GB2312"/>
          <w:snapToGrid w:val="0"/>
          <w:kern w:val="2"/>
          <w:sz w:val="32"/>
          <w:szCs w:val="32"/>
          <w:highlight w:val="none"/>
          <w:lang w:val="en-US" w:eastAsia="zh-CN"/>
        </w:rPr>
        <w:t>12</w:t>
      </w:r>
      <w:r>
        <w:rPr>
          <w:rFonts w:hint="eastAsia" w:ascii="仿宋_GB2312" w:hAnsi="宋体" w:eastAsia="仿宋_GB2312"/>
          <w:snapToGrid w:val="0"/>
          <w:kern w:val="2"/>
          <w:sz w:val="32"/>
          <w:szCs w:val="32"/>
          <w:highlight w:val="none"/>
        </w:rPr>
        <w:t>月</w:t>
      </w:r>
      <w:r>
        <w:rPr>
          <w:rFonts w:hint="eastAsia" w:ascii="仿宋_GB2312" w:hAnsi="宋体" w:eastAsia="仿宋_GB2312"/>
          <w:snapToGrid w:val="0"/>
          <w:kern w:val="2"/>
          <w:sz w:val="32"/>
          <w:szCs w:val="32"/>
          <w:highlight w:val="none"/>
          <w:lang w:val="en-US" w:eastAsia="zh-CN"/>
        </w:rPr>
        <w:t>18</w:t>
      </w:r>
      <w:r>
        <w:rPr>
          <w:rFonts w:hint="eastAsia" w:ascii="仿宋_GB2312" w:hAnsi="宋体" w:eastAsia="仿宋_GB2312"/>
          <w:snapToGrid w:val="0"/>
          <w:kern w:val="2"/>
          <w:sz w:val="32"/>
          <w:szCs w:val="32"/>
          <w:highlight w:val="none"/>
        </w:rPr>
        <w:t>日1</w:t>
      </w:r>
      <w:r>
        <w:rPr>
          <w:rFonts w:hint="eastAsia" w:ascii="仿宋_GB2312" w:hAnsi="宋体" w:eastAsia="仿宋_GB2312"/>
          <w:snapToGrid w:val="0"/>
          <w:kern w:val="2"/>
          <w:sz w:val="32"/>
          <w:szCs w:val="32"/>
          <w:highlight w:val="none"/>
          <w:lang w:val="en-US" w:eastAsia="zh-CN"/>
        </w:rPr>
        <w:t>0</w:t>
      </w:r>
      <w:r>
        <w:rPr>
          <w:rFonts w:hint="eastAsia" w:ascii="仿宋_GB2312" w:hAnsi="宋体" w:eastAsia="仿宋_GB2312"/>
          <w:snapToGrid w:val="0"/>
          <w:kern w:val="2"/>
          <w:sz w:val="32"/>
          <w:szCs w:val="32"/>
          <w:highlight w:val="none"/>
        </w:rPr>
        <w:t>：00时(北京时间)在中煤长江地质集团5楼会议室开标会议室开标。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上述安排如有变化，采购人将视情况在公司官网发布通知。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采购方：江苏长江地质勘查院</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地址：南京市栖霞区尧新大道5号</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联系人：刘晓梅      电话：052-85666601</w:t>
      </w:r>
    </w:p>
    <w:p>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项目联系人：</w:t>
      </w:r>
      <w:r>
        <w:rPr>
          <w:rFonts w:hint="eastAsia" w:ascii="仿宋_GB2312" w:hAnsi="宋体" w:eastAsia="仿宋_GB2312"/>
          <w:snapToGrid w:val="0"/>
          <w:kern w:val="2"/>
          <w:sz w:val="32"/>
          <w:szCs w:val="32"/>
          <w:highlight w:val="none"/>
          <w:lang w:val="en-US" w:eastAsia="zh-CN"/>
        </w:rPr>
        <w:t xml:space="preserve">宋延超 </w:t>
      </w:r>
      <w:r>
        <w:rPr>
          <w:rFonts w:hint="eastAsia" w:ascii="仿宋_GB2312" w:hAnsi="宋体" w:eastAsia="仿宋_GB2312"/>
          <w:snapToGrid w:val="0"/>
          <w:kern w:val="2"/>
          <w:sz w:val="32"/>
          <w:szCs w:val="32"/>
          <w:highlight w:val="none"/>
        </w:rPr>
        <w:t xml:space="preserve">      电话</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18694968858</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bookmarkStart w:id="41" w:name="_GoBack"/>
      <w:bookmarkEnd w:id="41"/>
    </w:p>
    <w:p>
      <w:pPr>
        <w:pStyle w:val="7"/>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pPr>
        <w:pStyle w:val="2"/>
        <w:spacing w:before="0" w:after="0" w:line="660" w:lineRule="exact"/>
        <w:jc w:val="center"/>
        <w:rPr>
          <w:rFonts w:ascii="方正小标宋简体" w:hAnsi="仿宋_GB2312" w:eastAsia="方正小标宋简体"/>
          <w:b w:val="0"/>
          <w:bCs/>
          <w:color w:val="000000"/>
          <w:szCs w:val="44"/>
          <w:highlight w:val="none"/>
        </w:rPr>
      </w:pPr>
      <w:bookmarkStart w:id="4" w:name="_Toc11379"/>
      <w:bookmarkStart w:id="5" w:name="_Toc97794043"/>
      <w:bookmarkStart w:id="6" w:name="_Toc30393"/>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4"/>
      <w:bookmarkEnd w:id="5"/>
      <w:bookmarkEnd w:id="6"/>
      <w:bookmarkStart w:id="7" w:name="_Toc6644"/>
    </w:p>
    <w:bookmarkEnd w:id="7"/>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一、适用范围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本竞争谈判文件仅适用于本次竞争谈判文件谈判公告中的所叙述的内容。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二、合格的供应商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谈判供应商是指向采购人提供货物、工程或者服务的法人，其他资格要求详见谈判公告。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三、保密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参与采购竞争谈判活动的各方应对采购文件和响应文件中的商业和技术等秘密保密，违者应对由此造成的后果承担法律责任。</w:t>
      </w:r>
    </w:p>
    <w:p>
      <w:pPr>
        <w:pStyle w:val="18"/>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四、（1）验收方式：成品套管按照实际过磅计重。谈判响应人负责提供完整的交货码单及提供</w:t>
      </w:r>
      <w:r>
        <w:rPr>
          <w:rFonts w:hint="eastAsia" w:ascii="仿宋_GB2312" w:hAnsi="仿宋_GB2312" w:eastAsia="仿宋_GB2312" w:cs="仿宋_GB2312"/>
          <w:snapToGrid w:val="0"/>
          <w:sz w:val="32"/>
          <w:szCs w:val="32"/>
          <w:highlight w:val="none"/>
          <w:lang w:val="en-US" w:eastAsia="zh-CN"/>
        </w:rPr>
        <w:t>宝钢钢厂出具的</w:t>
      </w:r>
      <w:r>
        <w:rPr>
          <w:rFonts w:hint="eastAsia" w:ascii="仿宋_GB2312" w:hAnsi="仿宋_GB2312" w:eastAsia="仿宋_GB2312" w:cs="仿宋_GB2312"/>
          <w:snapToGrid w:val="0"/>
          <w:sz w:val="32"/>
          <w:szCs w:val="32"/>
          <w:highlight w:val="none"/>
        </w:rPr>
        <w:t>管体质保单、原管体出库单</w:t>
      </w:r>
      <w:r>
        <w:rPr>
          <w:rFonts w:hint="eastAsia" w:ascii="仿宋_GB2312" w:hAnsi="仿宋_GB2312" w:eastAsia="仿宋_GB2312" w:cs="仿宋_GB2312"/>
          <w:snapToGrid w:val="0"/>
          <w:sz w:val="32"/>
          <w:szCs w:val="32"/>
          <w:highlight w:val="none"/>
          <w:lang w:eastAsia="zh-CN"/>
        </w:rPr>
        <w:t>、</w:t>
      </w:r>
      <w:r>
        <w:rPr>
          <w:rFonts w:hint="eastAsia" w:ascii="仿宋_GB2312" w:hAnsi="仿宋_GB2312" w:eastAsia="仿宋_GB2312" w:cs="仿宋_GB2312"/>
          <w:snapToGrid w:val="0"/>
          <w:sz w:val="32"/>
          <w:szCs w:val="32"/>
          <w:highlight w:val="none"/>
          <w:lang w:val="en-US" w:eastAsia="zh-CN"/>
        </w:rPr>
        <w:t xml:space="preserve"> </w:t>
      </w:r>
      <w:r>
        <w:rPr>
          <w:rFonts w:hint="eastAsia" w:ascii="仿宋_GB2312" w:hAnsi="仿宋_GB2312" w:eastAsia="仿宋_GB2312" w:cs="仿宋_GB2312"/>
          <w:snapToGrid w:val="0"/>
          <w:sz w:val="32"/>
          <w:szCs w:val="32"/>
          <w:highlight w:val="none"/>
        </w:rPr>
        <w:t>光管</w:t>
      </w:r>
      <w:r>
        <w:rPr>
          <w:rFonts w:hint="eastAsia" w:ascii="仿宋_GB2312" w:hAnsi="仿宋_GB2312" w:eastAsia="仿宋_GB2312" w:cs="仿宋_GB2312"/>
          <w:snapToGrid w:val="0"/>
          <w:sz w:val="32"/>
          <w:szCs w:val="32"/>
          <w:highlight w:val="none"/>
          <w:lang w:val="en-US" w:eastAsia="zh-CN"/>
        </w:rPr>
        <w:t>和</w:t>
      </w:r>
      <w:r>
        <w:rPr>
          <w:rFonts w:hint="eastAsia" w:ascii="仿宋_GB2312" w:hAnsi="仿宋_GB2312" w:eastAsia="仿宋_GB2312" w:cs="仿宋_GB2312"/>
          <w:snapToGrid w:val="0"/>
          <w:sz w:val="32"/>
          <w:szCs w:val="32"/>
          <w:highlight w:val="none"/>
        </w:rPr>
        <w:t>成品管质保书</w:t>
      </w:r>
      <w:r>
        <w:rPr>
          <w:rFonts w:hint="eastAsia" w:ascii="仿宋_GB2312" w:hAnsi="仿宋_GB2312" w:eastAsia="仿宋_GB2312" w:cs="仿宋_GB2312"/>
          <w:snapToGrid w:val="0"/>
          <w:sz w:val="32"/>
          <w:szCs w:val="32"/>
          <w:highlight w:val="none"/>
          <w:lang w:val="en-US" w:eastAsia="zh-CN"/>
        </w:rPr>
        <w:t>及订单合同号</w:t>
      </w:r>
      <w:r>
        <w:rPr>
          <w:rFonts w:hint="eastAsia" w:ascii="仿宋_GB2312" w:hAnsi="仿宋_GB2312" w:eastAsia="仿宋_GB2312" w:cs="仿宋_GB2312"/>
          <w:snapToGrid w:val="0"/>
          <w:sz w:val="32"/>
          <w:szCs w:val="32"/>
          <w:highlight w:val="none"/>
        </w:rPr>
        <w:t>，采购方根据以上单据才能验收入库，需通过权威机构对管体进行抽样检查。</w:t>
      </w:r>
      <w:r>
        <w:rPr>
          <w:rFonts w:hint="eastAsia" w:ascii="仿宋_GB2312" w:hAnsi="仿宋_GB2312" w:eastAsia="仿宋_GB2312" w:cs="仿宋_GB2312"/>
          <w:snapToGrid w:val="0"/>
          <w:color w:val="000000" w:themeColor="text1"/>
          <w:kern w:val="2"/>
          <w:sz w:val="32"/>
          <w:szCs w:val="32"/>
          <w:highlight w:val="none"/>
          <w:lang w:val="en-US" w:eastAsia="zh-CN" w:bidi="ar-SA"/>
          <w14:textFill>
            <w14:solidFill>
              <w14:schemeClr w14:val="tx1"/>
            </w14:solidFill>
          </w14:textFill>
        </w:rPr>
        <w:t>一经发现有伪造行为将严肃追究违约责任，要求承担赔偿责任。</w:t>
      </w:r>
      <w:r>
        <w:rPr>
          <w:rFonts w:hint="eastAsia" w:ascii="仿宋_GB2312" w:hAnsi="仿宋_GB2312" w:eastAsia="仿宋_GB2312" w:cs="仿宋_GB2312"/>
          <w:snapToGrid w:val="0"/>
          <w:sz w:val="32"/>
          <w:szCs w:val="32"/>
          <w:highlight w:val="none"/>
        </w:rPr>
        <w:t>具体以签订的《采购合同》约定内容为准。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 xml:space="preserve">（2）运输方式：谈判响应人负责装货并送货上门至交货地点，所有费用由供方承担。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（3） 项目验收人：江苏长江地质勘查院。</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（4）谈判响应人供给采购方的成品套管进入采购方工地，交付采购方初步验收（含数量和外观质量、出厂检验证明资料等）合格后的保管，由采购方负责；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（5）本批次套管全部运到需方现场，经需方初验全部合格，供方提供全额增值税票（13%税率）后，需方付本批次货款总额的30%；全部套管安装调试完毕合格后满</w:t>
      </w:r>
      <w:r>
        <w:rPr>
          <w:rFonts w:hint="eastAsia" w:ascii="仿宋_GB2312" w:hAnsi="仿宋_GB2312" w:eastAsia="仿宋_GB2312" w:cs="仿宋_GB2312"/>
          <w:snapToGrid w:val="0"/>
          <w:sz w:val="32"/>
          <w:szCs w:val="32"/>
          <w:highlight w:val="none"/>
          <w:lang w:val="en-US" w:eastAsia="zh-CN"/>
        </w:rPr>
        <w:t>3</w:t>
      </w:r>
      <w:r>
        <w:rPr>
          <w:rFonts w:hint="eastAsia" w:ascii="仿宋_GB2312" w:hAnsi="仿宋_GB2312" w:eastAsia="仿宋_GB2312" w:cs="仿宋_GB2312"/>
          <w:snapToGrid w:val="0"/>
          <w:sz w:val="32"/>
          <w:szCs w:val="32"/>
          <w:highlight w:val="none"/>
        </w:rPr>
        <w:t>个月</w:t>
      </w:r>
      <w:r>
        <w:rPr>
          <w:rFonts w:hint="eastAsia" w:ascii="仿宋_GB2312" w:hAnsi="仿宋_GB2312" w:eastAsia="仿宋_GB2312" w:cs="仿宋_GB2312"/>
          <w:snapToGrid w:val="0"/>
          <w:sz w:val="32"/>
          <w:szCs w:val="32"/>
          <w:highlight w:val="none"/>
          <w:lang w:val="en-US" w:eastAsia="zh-CN"/>
        </w:rPr>
        <w:t>内</w:t>
      </w:r>
      <w:r>
        <w:rPr>
          <w:rFonts w:hint="eastAsia" w:ascii="仿宋_GB2312" w:hAnsi="仿宋_GB2312" w:eastAsia="仿宋_GB2312" w:cs="仿宋_GB2312"/>
          <w:snapToGrid w:val="0"/>
          <w:sz w:val="32"/>
          <w:szCs w:val="32"/>
          <w:highlight w:val="none"/>
        </w:rPr>
        <w:t>，需方向供方支付本批次货款总额的65%；质保金5%，待质保期满，无质量问题，一次付清。有质量问题时，需方暂扣质保金直至供方修复好套管缺陷并赔偿需方经济损失。</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五、供应商应按谈判文件的要求准备谈判响应文件，并保证所提供的全部资料的真实性，准确性及完整性，以使其报价对竞争谈判文件做出实质性的响应，否则其谈判资格有可能被谈判小组否决。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六、谈判响应文件的签署、密封和标记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（一）谈判响应文件共两份，其中“正本”一份，“副本”一份，如正副本内容不符，以“正本”为准，分别装订成册，不得采用活页装订，双面打印、软封面包装，另需提供电子版1份（U盘单独封装）。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（二）谈判文件的签署：</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文件正本除封面、封底、目录、分隔页外，其余每一页均应加盖供应商单位公章，并由供应商的法定代表人或其委托代理人签署姓名（不得使用印章、签名章或其他电子制版签名代替），谈判文件应尽量避免涂改、行间插字或删除。如果出现上述情况，修改之处应加盖供应商单位公章或由供应商的法定代表人或其委托代理人签字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（三）谈判文件的密封、标记：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napToGrid w:val="0"/>
          <w:sz w:val="32"/>
          <w:szCs w:val="32"/>
          <w:highlight w:val="none"/>
          <w:lang w:eastAsia="zh-CN"/>
        </w:rPr>
      </w:pPr>
      <w:r>
        <w:rPr>
          <w:rFonts w:hint="eastAsia" w:ascii="仿宋_GB2312" w:hAnsi="仿宋_GB2312" w:eastAsia="仿宋_GB2312" w:cs="仿宋_GB2312"/>
          <w:snapToGrid w:val="0"/>
          <w:sz w:val="32"/>
          <w:szCs w:val="32"/>
          <w:highlight w:val="none"/>
        </w:rPr>
        <w:t xml:space="preserve">谈判文件正本和副本应分开包装，分别加贴封条，并在封套的封口处加盖供应商单位公章。封套上注明项目名称、项目编号、谈判人名称和地址、“正本”、“副本”字样及“在  </w:t>
      </w:r>
      <w:r>
        <w:rPr>
          <w:rFonts w:hint="eastAsia" w:ascii="仿宋_GB2312" w:hAnsi="仿宋_GB2312" w:eastAsia="仿宋_GB2312" w:cs="仿宋_GB2312"/>
          <w:snapToGrid w:val="0"/>
          <w:sz w:val="32"/>
          <w:szCs w:val="32"/>
          <w:highlight w:val="none"/>
          <w:u w:val="single"/>
        </w:rPr>
        <w:t>年  月  日  时</w:t>
      </w:r>
      <w:r>
        <w:rPr>
          <w:rFonts w:hint="eastAsia" w:ascii="仿宋_GB2312" w:hAnsi="仿宋_GB2312" w:eastAsia="仿宋_GB2312" w:cs="仿宋_GB2312"/>
          <w:snapToGrid w:val="0"/>
          <w:sz w:val="32"/>
          <w:szCs w:val="32"/>
          <w:highlight w:val="none"/>
        </w:rPr>
        <w:t>前不得拆封”字样</w:t>
      </w:r>
      <w:r>
        <w:rPr>
          <w:rFonts w:hint="eastAsia" w:ascii="仿宋_GB2312" w:hAnsi="仿宋_GB2312" w:eastAsia="仿宋_GB2312" w:cs="仿宋_GB2312"/>
          <w:snapToGrid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方正小标宋简体" w:hAnsi="仿宋_GB2312" w:eastAsia="方正小标宋简体"/>
          <w:b w:val="0"/>
          <w:bCs/>
          <w:color w:val="000000"/>
          <w:szCs w:val="44"/>
          <w:highlight w:val="none"/>
        </w:rPr>
      </w:pPr>
      <w:r>
        <w:rPr>
          <w:rFonts w:hint="eastAsia" w:ascii="仿宋_GB2312" w:hAnsi="宋体" w:eastAsia="仿宋_GB2312"/>
          <w:b/>
          <w:bCs/>
          <w:sz w:val="32"/>
          <w:szCs w:val="32"/>
          <w:highlight w:val="none"/>
          <w:lang w:val="en-US" w:eastAsia="zh-CN"/>
        </w:rPr>
        <w:t>未能完全响应采购文件要求视为无效投标</w:t>
      </w:r>
      <w:r>
        <w:rPr>
          <w:rFonts w:hint="eastAsia" w:ascii="仿宋_GB2312" w:hAnsi="仿宋_GB2312" w:eastAsia="仿宋_GB2312" w:cs="仿宋_GB2312"/>
          <w:snapToGrid w:val="0"/>
          <w:sz w:val="32"/>
          <w:szCs w:val="32"/>
          <w:highlight w:val="none"/>
        </w:rPr>
        <w:t>。</w:t>
      </w:r>
      <w:bookmarkStart w:id="8" w:name="_Toc18772"/>
      <w:bookmarkStart w:id="9" w:name="_Toc161767419"/>
      <w:bookmarkStart w:id="10" w:name="_Toc135998992"/>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jc w:val="center"/>
        <w:rPr>
          <w:rFonts w:hint="eastAsia"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48"/>
          <w:szCs w:val="48"/>
          <w:highlight w:val="none"/>
        </w:rPr>
        <w:t>第三章 合同主要条款及格式</w:t>
      </w:r>
      <w:bookmarkEnd w:id="8"/>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52"/>
          <w:szCs w:val="44"/>
          <w:highlight w:val="none"/>
        </w:rPr>
      </w:pPr>
      <w:bookmarkStart w:id="11" w:name="_Toc97794046"/>
    </w:p>
    <w:bookmarkEnd w:id="9"/>
    <w:bookmarkEnd w:id="10"/>
    <w:bookmarkEnd w:id="11"/>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宋体" w:hAnsi="宋体" w:cs="宋体"/>
          <w:sz w:val="32"/>
          <w:szCs w:val="32"/>
          <w:highlight w:val="none"/>
        </w:rPr>
      </w:pPr>
      <w:bookmarkStart w:id="12" w:name="_Toc96584967"/>
      <w:bookmarkStart w:id="13" w:name="_Toc96585093"/>
      <w:bookmarkStart w:id="14" w:name="_Toc414431079"/>
      <w:bookmarkStart w:id="15" w:name="_Toc2782"/>
      <w:bookmarkStart w:id="16" w:name="_Toc16449"/>
      <w:bookmarkStart w:id="17" w:name="_Toc161767428"/>
      <w:bookmarkStart w:id="18" w:name="_Toc135999006"/>
      <w:r>
        <w:rPr>
          <w:rFonts w:hint="eastAsia" w:ascii="宋体" w:hAnsi="宋体" w:cs="宋体"/>
          <w:sz w:val="32"/>
          <w:szCs w:val="32"/>
          <w:highlight w:val="none"/>
        </w:rPr>
        <w:t xml:space="preserve">签订日期：             签订地点：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宋体" w:hAnsi="宋体" w:cs="宋体"/>
          <w:sz w:val="32"/>
          <w:szCs w:val="32"/>
          <w:highlight w:val="none"/>
        </w:rPr>
      </w:pPr>
      <w:r>
        <w:rPr>
          <w:rFonts w:hint="eastAsia" w:ascii="宋体" w:hAnsi="宋体" w:cs="宋体"/>
          <w:sz w:val="32"/>
          <w:szCs w:val="32"/>
          <w:highlight w:val="none"/>
        </w:rPr>
        <w:t>供方：</w:t>
      </w:r>
      <w:r>
        <w:rPr>
          <w:rFonts w:hint="eastAsia" w:ascii="宋体" w:hAnsi="宋体" w:cs="宋体"/>
          <w:sz w:val="32"/>
          <w:szCs w:val="32"/>
          <w:highlight w:val="none"/>
        </w:rPr>
        <w:tab/>
      </w:r>
      <w:r>
        <w:rPr>
          <w:rFonts w:hint="eastAsia" w:ascii="宋体" w:hAnsi="宋体" w:cs="宋体"/>
          <w:sz w:val="32"/>
          <w:szCs w:val="32"/>
          <w:highlight w:val="none"/>
        </w:rPr>
        <w:t xml:space="preserve">                 需方：江苏长江地质勘查院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宋体" w:hAnsi="宋体" w:cs="宋体"/>
          <w:sz w:val="32"/>
          <w:szCs w:val="32"/>
          <w:highlight w:val="none"/>
        </w:rPr>
      </w:pPr>
      <w:r>
        <w:rPr>
          <w:rFonts w:hint="eastAsia" w:ascii="宋体" w:hAnsi="宋体" w:cs="宋体"/>
          <w:sz w:val="32"/>
          <w:szCs w:val="32"/>
          <w:highlight w:val="none"/>
        </w:rPr>
        <w:t>双方本着平等自愿、公平互利的原则，根据《中华人民共和国民法典》及相关法律、法规的规定订立以下合同，双方在此确认：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ascii="宋体" w:hAnsi="宋体" w:cs="宋体"/>
          <w:sz w:val="32"/>
          <w:szCs w:val="32"/>
          <w:highlight w:val="none"/>
        </w:rPr>
      </w:pPr>
      <w:bookmarkStart w:id="19" w:name="_Toc32622"/>
      <w:bookmarkStart w:id="20" w:name="_Toc10659"/>
      <w:r>
        <w:rPr>
          <w:rFonts w:hint="eastAsia" w:ascii="宋体" w:hAnsi="宋体" w:cs="宋体"/>
          <w:sz w:val="32"/>
          <w:szCs w:val="32"/>
          <w:highlight w:val="none"/>
        </w:rPr>
        <w:t>1、双方就本合同的各项条款已充分地向对方进行了解释；</w:t>
      </w:r>
      <w:bookmarkEnd w:id="19"/>
      <w:bookmarkEnd w:id="20"/>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宋体" w:hAnsi="宋体" w:cs="宋体"/>
          <w:sz w:val="32"/>
          <w:szCs w:val="32"/>
          <w:highlight w:val="none"/>
        </w:rPr>
      </w:pPr>
      <w:r>
        <w:rPr>
          <w:rFonts w:hint="eastAsia" w:ascii="宋体" w:hAnsi="宋体" w:cs="宋体"/>
          <w:sz w:val="32"/>
          <w:szCs w:val="32"/>
          <w:highlight w:val="none"/>
        </w:rPr>
        <w:t>2、双方已完全理解本合同各项条款的含义及遵守这些条款可能产生的后果；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宋体" w:hAnsi="宋体" w:cs="宋体"/>
          <w:sz w:val="32"/>
          <w:szCs w:val="32"/>
          <w:highlight w:val="none"/>
        </w:rPr>
      </w:pPr>
      <w:r>
        <w:rPr>
          <w:rFonts w:hint="eastAsia" w:ascii="宋体" w:hAnsi="宋体" w:cs="宋体"/>
          <w:sz w:val="32"/>
          <w:szCs w:val="32"/>
          <w:highlight w:val="none"/>
        </w:rPr>
        <w:t xml:space="preserve">3、双方一致同意严格遵守本合同全部条款。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宋体" w:hAnsi="宋体" w:cs="宋体"/>
          <w:sz w:val="32"/>
          <w:szCs w:val="32"/>
          <w:highlight w:val="none"/>
        </w:rPr>
      </w:pPr>
      <w:r>
        <w:rPr>
          <w:rFonts w:hint="eastAsia" w:ascii="宋体" w:hAnsi="宋体" w:cs="宋体"/>
          <w:sz w:val="32"/>
          <w:szCs w:val="32"/>
          <w:highlight w:val="none"/>
        </w:rPr>
        <w:t xml:space="preserve">一、品名、规格、数量、含税价、总金额、技术标准、交货期及交货地       </w:t>
      </w:r>
    </w:p>
    <w:tbl>
      <w:tblPr>
        <w:tblStyle w:val="21"/>
        <w:tblW w:w="8491" w:type="dxa"/>
        <w:tblInd w:w="0" w:type="dxa"/>
        <w:tblLayout w:type="fixed"/>
        <w:tblCellMar>
          <w:top w:w="0" w:type="dxa"/>
          <w:left w:w="108" w:type="dxa"/>
          <w:bottom w:w="0" w:type="dxa"/>
          <w:right w:w="108" w:type="dxa"/>
        </w:tblCellMar>
      </w:tblPr>
      <w:tblGrid>
        <w:gridCol w:w="590"/>
        <w:gridCol w:w="1629"/>
        <w:gridCol w:w="885"/>
        <w:gridCol w:w="737"/>
        <w:gridCol w:w="930"/>
        <w:gridCol w:w="765"/>
        <w:gridCol w:w="735"/>
        <w:gridCol w:w="840"/>
        <w:gridCol w:w="1380"/>
      </w:tblGrid>
      <w:tr>
        <w:tblPrEx>
          <w:tblLayout w:type="fixed"/>
          <w:tblCellMar>
            <w:top w:w="0" w:type="dxa"/>
            <w:left w:w="108" w:type="dxa"/>
            <w:bottom w:w="0" w:type="dxa"/>
            <w:right w:w="108" w:type="dxa"/>
          </w:tblCellMar>
        </w:tblPrEx>
        <w:trPr>
          <w:trHeight w:val="407" w:hRule="atLeast"/>
        </w:trPr>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品名</w:t>
            </w:r>
          </w:p>
        </w:tc>
        <w:tc>
          <w:tcPr>
            <w:tcW w:w="1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规 格</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数量(吨)</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含税单价</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总金额（元）</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钢厂</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技术标准</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交货期</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交货地</w:t>
            </w:r>
          </w:p>
        </w:tc>
      </w:tr>
      <w:tr>
        <w:tblPrEx>
          <w:tblLayout w:type="fixed"/>
          <w:tblCellMar>
            <w:top w:w="0" w:type="dxa"/>
            <w:left w:w="108" w:type="dxa"/>
            <w:bottom w:w="0" w:type="dxa"/>
            <w:right w:w="108" w:type="dxa"/>
          </w:tblCellMar>
        </w:tblPrEx>
        <w:trPr>
          <w:trHeight w:val="407" w:hRule="atLeas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（元/吨）</w:t>
            </w: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9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eastAsia"/>
                <w:highlight w:val="none"/>
                <w:lang w:val="en-US" w:eastAsia="zh-CN" w:bidi="ar"/>
              </w:rPr>
              <w:t>成品</w:t>
            </w:r>
            <w:r>
              <w:rPr>
                <w:rStyle w:val="33"/>
                <w:rFonts w:hint="default"/>
                <w:highlight w:val="none"/>
                <w:lang w:bidi="ar"/>
              </w:rPr>
              <w:t>套管</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339.7</w:t>
            </w:r>
            <w:r>
              <w:rPr>
                <w:rStyle w:val="33"/>
                <w:rFonts w:hint="eastAsia"/>
                <w:highlight w:val="none"/>
                <w:lang w:bidi="ar"/>
              </w:rPr>
              <w:t>mm*</w:t>
            </w:r>
            <w:r>
              <w:rPr>
                <w:rStyle w:val="33"/>
                <w:rFonts w:hint="eastAsia"/>
                <w:highlight w:val="none"/>
                <w:lang w:val="en-US" w:eastAsia="zh-CN" w:bidi="ar"/>
              </w:rPr>
              <w:t>13.06</w:t>
            </w:r>
            <w:r>
              <w:rPr>
                <w:rStyle w:val="33"/>
                <w:rFonts w:hint="eastAsia"/>
                <w:highlight w:val="none"/>
                <w:lang w:bidi="ar"/>
              </w:rPr>
              <w:t>mm</w:t>
            </w:r>
            <w:r>
              <w:rPr>
                <w:rStyle w:val="33"/>
                <w:rFonts w:hint="eastAsia"/>
                <w:highlight w:val="none"/>
                <w:lang w:val="en-US" w:eastAsia="zh-CN" w:bidi="ar"/>
              </w:rPr>
              <w:t xml:space="preserve"> </w:t>
            </w:r>
          </w:p>
          <w:p>
            <w:pPr>
              <w:widowControl/>
              <w:jc w:val="center"/>
              <w:textAlignment w:val="center"/>
              <w:rPr>
                <w:rStyle w:val="33"/>
                <w:rFonts w:hint="default"/>
                <w:sz w:val="21"/>
                <w:szCs w:val="21"/>
                <w:highlight w:val="none"/>
                <w:lang w:bidi="ar"/>
              </w:rPr>
            </w:pPr>
            <w:r>
              <w:rPr>
                <w:rStyle w:val="33"/>
                <w:rFonts w:hint="eastAsia"/>
                <w:highlight w:val="none"/>
                <w:lang w:val="en-US" w:eastAsia="zh-CN" w:bidi="ar"/>
              </w:rPr>
              <w:t>钢级</w:t>
            </w:r>
            <w:r>
              <w:rPr>
                <w:rStyle w:val="33"/>
                <w:rFonts w:hint="eastAsia"/>
                <w:highlight w:val="none"/>
                <w:lang w:eastAsia="zh-CN" w:bidi="ar"/>
              </w:rPr>
              <w:t>：</w:t>
            </w:r>
            <w:r>
              <w:rPr>
                <w:rStyle w:val="33"/>
                <w:rFonts w:hint="eastAsia"/>
                <w:highlight w:val="none"/>
                <w:lang w:val="en-US" w:eastAsia="zh-CN" w:bidi="ar"/>
              </w:rPr>
              <w:t>P110 扣型气密扣</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9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成品</w:t>
            </w:r>
            <w:r>
              <w:rPr>
                <w:rStyle w:val="33"/>
                <w:rFonts w:hint="default"/>
                <w:highlight w:val="none"/>
                <w:lang w:bidi="ar"/>
              </w:rPr>
              <w:t>套管</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eastAsia"/>
                <w:highlight w:val="none"/>
                <w:lang w:val="en-US" w:eastAsia="zh-CN" w:bidi="ar"/>
              </w:rPr>
            </w:pPr>
            <w:r>
              <w:rPr>
                <w:rStyle w:val="33"/>
                <w:rFonts w:hint="eastAsia"/>
                <w:highlight w:val="none"/>
                <w:lang w:val="en-US" w:eastAsia="zh-CN" w:bidi="ar"/>
              </w:rPr>
              <w:t>339.7mm耐高压氧腐蚀熔覆焊合金管(气密封扣)</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407" w:hRule="atLeast"/>
        </w:trPr>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含税合计人民币小写金额</w:t>
            </w:r>
          </w:p>
        </w:tc>
        <w:tc>
          <w:tcPr>
            <w:tcW w:w="53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415" w:hRule="atLeast"/>
        </w:trPr>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含税合计人民币大写金额</w:t>
            </w:r>
          </w:p>
        </w:tc>
        <w:tc>
          <w:tcPr>
            <w:tcW w:w="53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425" w:hRule="atLeast"/>
        </w:trPr>
        <w:tc>
          <w:tcPr>
            <w:tcW w:w="8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bl>
    <w:p>
      <w:pPr>
        <w:numPr>
          <w:ilvl w:val="0"/>
          <w:numId w:val="1"/>
        </w:numPr>
        <w:spacing w:line="560" w:lineRule="exact"/>
        <w:ind w:left="60" w:firstLine="640" w:firstLineChars="200"/>
        <w:rPr>
          <w:rFonts w:hint="eastAsia" w:ascii="宋体" w:hAnsi="宋体" w:cs="宋体"/>
          <w:sz w:val="32"/>
          <w:szCs w:val="32"/>
          <w:highlight w:val="none"/>
          <w:lang w:val="en-US" w:eastAsia="zh-CN"/>
        </w:rPr>
      </w:pPr>
      <w:r>
        <w:rPr>
          <w:rFonts w:hint="eastAsia" w:ascii="宋体" w:hAnsi="宋体" w:cs="宋体"/>
          <w:sz w:val="32"/>
          <w:szCs w:val="32"/>
          <w:highlight w:val="none"/>
        </w:rPr>
        <w:t>运输方式：供方负责运至</w:t>
      </w:r>
      <w:r>
        <w:rPr>
          <w:rFonts w:hint="eastAsia" w:ascii="宋体" w:hAnsi="宋体" w:cs="宋体"/>
          <w:sz w:val="32"/>
          <w:szCs w:val="32"/>
          <w:highlight w:val="none"/>
          <w:lang w:val="en-US" w:eastAsia="zh-CN"/>
        </w:rPr>
        <w:t>常州市金坛区直溪镇</w:t>
      </w:r>
    </w:p>
    <w:p>
      <w:pPr>
        <w:numPr>
          <w:ilvl w:val="0"/>
          <w:numId w:val="0"/>
        </w:numPr>
        <w:spacing w:line="560" w:lineRule="exact"/>
        <w:ind w:leftChars="200" w:firstLine="320" w:firstLineChars="100"/>
        <w:rPr>
          <w:rFonts w:ascii="宋体" w:hAnsi="宋体" w:cs="宋体"/>
          <w:sz w:val="32"/>
          <w:szCs w:val="32"/>
          <w:highlight w:val="none"/>
        </w:rPr>
      </w:pPr>
      <w:r>
        <w:rPr>
          <w:rFonts w:hint="eastAsia" w:ascii="宋体" w:hAnsi="宋体" w:cs="宋体"/>
          <w:sz w:val="32"/>
          <w:szCs w:val="32"/>
          <w:highlight w:val="none"/>
        </w:rPr>
        <w:t>三、运杂费承担方：供方</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四、供货结算方式：</w:t>
      </w:r>
    </w:p>
    <w:p>
      <w:pPr>
        <w:widowControl/>
        <w:spacing w:line="560" w:lineRule="exact"/>
        <w:ind w:firstLine="640" w:firstLineChars="200"/>
        <w:jc w:val="left"/>
        <w:rPr>
          <w:highlight w:val="none"/>
        </w:rPr>
      </w:pPr>
      <w:r>
        <w:rPr>
          <w:rFonts w:hint="eastAsia" w:ascii="宋体" w:hAnsi="宋体" w:cs="宋体"/>
          <w:sz w:val="32"/>
          <w:szCs w:val="32"/>
          <w:highlight w:val="none"/>
        </w:rPr>
        <w:t>本批次套管全部运到需方现场，经需方初验全部合格，供方提供全额增值税票（13%税率）后，需方付本批次货款总额的30%；全部套管安装调试完毕合格后满</w:t>
      </w:r>
      <w:r>
        <w:rPr>
          <w:rFonts w:hint="eastAsia" w:ascii="宋体" w:hAnsi="宋体" w:cs="宋体"/>
          <w:sz w:val="32"/>
          <w:szCs w:val="32"/>
          <w:highlight w:val="none"/>
          <w:lang w:val="en-US" w:eastAsia="zh-CN"/>
        </w:rPr>
        <w:t>3</w:t>
      </w:r>
      <w:r>
        <w:rPr>
          <w:rFonts w:hint="eastAsia" w:ascii="宋体" w:hAnsi="宋体" w:cs="宋体"/>
          <w:sz w:val="32"/>
          <w:szCs w:val="32"/>
          <w:highlight w:val="none"/>
        </w:rPr>
        <w:t>个月</w:t>
      </w:r>
      <w:r>
        <w:rPr>
          <w:rFonts w:hint="eastAsia" w:ascii="宋体" w:hAnsi="宋体" w:cs="宋体"/>
          <w:sz w:val="32"/>
          <w:szCs w:val="32"/>
          <w:highlight w:val="none"/>
          <w:lang w:val="en-US" w:eastAsia="zh-CN"/>
        </w:rPr>
        <w:t>内</w:t>
      </w:r>
      <w:r>
        <w:rPr>
          <w:rFonts w:hint="eastAsia" w:ascii="宋体" w:hAnsi="宋体" w:cs="宋体"/>
          <w:sz w:val="32"/>
          <w:szCs w:val="32"/>
          <w:highlight w:val="none"/>
        </w:rPr>
        <w:t>，需方向供方支付本批次货款总额的65%；质保金5%，待质保期满，无质量问题，一次付清。有质量问题时，需方暂扣质保金直至供方修复好套管缺陷并赔偿需方经济损失。</w:t>
      </w:r>
      <w:r>
        <w:rPr>
          <w:rFonts w:hint="eastAsia" w:asciiTheme="minorEastAsia" w:hAnsiTheme="minorEastAsia" w:eastAsiaTheme="minorEastAsia" w:cstheme="minorEastAsia"/>
          <w:snapToGrid w:val="0"/>
          <w:sz w:val="32"/>
          <w:szCs w:val="32"/>
          <w:highlight w:val="none"/>
          <w:lang w:val="en-US" w:eastAsia="zh-CN"/>
        </w:rPr>
        <w:t>质保期：自套管验收合格之日起3个月。</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五、付款方式：银行承兑、汇款。</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六、付款票据及贴息承担方：电汇</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七、交货磅差：</w:t>
      </w:r>
      <w:r>
        <w:rPr>
          <w:rFonts w:hint="eastAsia" w:ascii="宋体" w:hAnsi="宋体" w:cs="宋体"/>
          <w:sz w:val="32"/>
          <w:szCs w:val="32"/>
          <w:highlight w:val="none"/>
          <w:u w:val="single"/>
        </w:rPr>
        <w:t xml:space="preserve">±3‰ </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八、货款结算约定：按实际过磅重量为准。</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九、验收</w:t>
      </w:r>
    </w:p>
    <w:p>
      <w:pPr>
        <w:spacing w:line="560" w:lineRule="exact"/>
        <w:ind w:left="62" w:firstLine="640" w:firstLineChars="200"/>
        <w:jc w:val="left"/>
        <w:rPr>
          <w:rFonts w:ascii="宋体" w:hAnsi="宋体" w:cs="宋体"/>
          <w:sz w:val="32"/>
          <w:szCs w:val="32"/>
          <w:highlight w:val="none"/>
        </w:rPr>
      </w:pPr>
      <w:r>
        <w:rPr>
          <w:rFonts w:hint="eastAsia" w:ascii="宋体" w:hAnsi="宋体" w:cs="宋体"/>
          <w:sz w:val="32"/>
          <w:szCs w:val="32"/>
          <w:highlight w:val="none"/>
        </w:rPr>
        <w:t>1、供方应严格按照合同规定发货，如需变动应事先征得需方同意并签订供需双方变更合同。</w:t>
      </w:r>
    </w:p>
    <w:p>
      <w:pPr>
        <w:spacing w:line="560" w:lineRule="exact"/>
        <w:ind w:left="62" w:firstLine="640" w:firstLineChars="200"/>
        <w:jc w:val="left"/>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2、交货时，供方负责提供完整的交货码单及提供管体质保单、管体出库单，收货单位根据以上单据才能验收入库。供方延期交货的，</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spacing w:line="560" w:lineRule="exact"/>
        <w:ind w:left="62" w:firstLine="640" w:firstLineChars="200"/>
        <w:jc w:val="left"/>
        <w:rPr>
          <w:highlight w:val="none"/>
        </w:rPr>
      </w:pPr>
      <w:r>
        <w:rPr>
          <w:rFonts w:hint="eastAsia" w:ascii="宋体" w:hAnsi="宋体" w:cs="宋体"/>
          <w:sz w:val="32"/>
          <w:szCs w:val="32"/>
          <w:highlight w:val="none"/>
        </w:rPr>
        <w:t>3、供方须向需方提供产品质量保证书、杜绝仿冒质量保证单据。</w:t>
      </w:r>
    </w:p>
    <w:p>
      <w:pPr>
        <w:spacing w:line="560" w:lineRule="exact"/>
        <w:ind w:left="62" w:firstLine="640" w:firstLineChars="200"/>
        <w:jc w:val="left"/>
        <w:rPr>
          <w:rFonts w:ascii="宋体" w:hAnsi="宋体" w:cs="宋体"/>
          <w:sz w:val="32"/>
          <w:szCs w:val="32"/>
          <w:highlight w:val="none"/>
        </w:rPr>
      </w:pPr>
      <w:r>
        <w:rPr>
          <w:rFonts w:hint="eastAsia" w:ascii="宋体" w:hAnsi="宋体" w:cs="宋体"/>
          <w:sz w:val="32"/>
          <w:szCs w:val="32"/>
          <w:highlight w:val="none"/>
        </w:rPr>
        <w:t>4、若因套管质量问题造成井损失，供应商须主动、及时配合处理，把影响降至最低，并承担由此产生的全部损失。</w:t>
      </w:r>
    </w:p>
    <w:p>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十、异议处理</w:t>
      </w:r>
    </w:p>
    <w:p>
      <w:pPr>
        <w:spacing w:line="560" w:lineRule="exact"/>
        <w:ind w:left="-420" w:firstLine="640" w:firstLineChars="200"/>
        <w:rPr>
          <w:rFonts w:ascii="宋体" w:hAnsi="宋体" w:cs="宋体"/>
          <w:sz w:val="32"/>
          <w:szCs w:val="32"/>
          <w:highlight w:val="none"/>
        </w:rPr>
      </w:pPr>
      <w:r>
        <w:rPr>
          <w:rFonts w:hint="eastAsia" w:ascii="宋体" w:hAnsi="宋体" w:cs="宋体"/>
          <w:sz w:val="32"/>
          <w:szCs w:val="32"/>
          <w:highlight w:val="none"/>
        </w:rPr>
        <w:t>合同执行过程中如发生异议，双方友好协商解决。如协商不成，按《中华人民共和国民法典》》有关条款执行。</w:t>
      </w:r>
    </w:p>
    <w:p>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十一、不可抗力</w:t>
      </w:r>
    </w:p>
    <w:p>
      <w:pPr>
        <w:spacing w:line="560" w:lineRule="exact"/>
        <w:ind w:left="-420" w:leftChars="-200" w:firstLine="640" w:firstLineChars="200"/>
        <w:jc w:val="left"/>
        <w:rPr>
          <w:rFonts w:ascii="宋体" w:hAnsi="宋体" w:cs="宋体"/>
          <w:sz w:val="32"/>
          <w:szCs w:val="32"/>
          <w:highlight w:val="none"/>
        </w:rPr>
      </w:pPr>
      <w:r>
        <w:rPr>
          <w:rFonts w:hint="eastAsia" w:ascii="宋体" w:hAnsi="宋体" w:cs="宋体"/>
          <w:sz w:val="32"/>
          <w:szCs w:val="32"/>
          <w:highlight w:val="none"/>
        </w:rPr>
        <w:t>当事人一方发生了不可抗力事件，双方应协商合同变更、继续履行或者终止履行的事宜。</w:t>
      </w:r>
    </w:p>
    <w:p>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十二、其它事项</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1、本合同的附件为本合同不可缺少的组成部分，附件与本合同具有同等的法律效力。</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2、如与货物的有关权利(包括所有权、知识产权)而引起的有关争议，供方应负责解决并承担由此产生的费用。</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3、货物的所有权自货物交付时起，从供方转移到需方。</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4、供方在不履行或不完全履行其与需方订立的其他合同项下的义务时，需方有权暂缓履行本合同项下的需方的义务并终止合同。</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5、本合同一式两份，双方各执</w:t>
      </w:r>
      <w:r>
        <w:rPr>
          <w:rFonts w:hint="eastAsia" w:ascii="宋体" w:hAnsi="宋体" w:cs="宋体"/>
          <w:sz w:val="32"/>
          <w:szCs w:val="32"/>
          <w:highlight w:val="none"/>
          <w:u w:val="single"/>
        </w:rPr>
        <w:t>一</w:t>
      </w:r>
      <w:r>
        <w:rPr>
          <w:rFonts w:hint="eastAsia" w:ascii="宋体" w:hAnsi="宋体" w:cs="宋体"/>
          <w:sz w:val="32"/>
          <w:szCs w:val="32"/>
          <w:highlight w:val="none"/>
        </w:rPr>
        <w:t>份，具有同等效力。本合同经双方签字盖章生效。</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6、其他未尽事项：合同如有未尽事宜，须经双方共同协商，作出补充规定，补充规定与本合同具有同等效力。</w:t>
      </w:r>
    </w:p>
    <w:p>
      <w:pPr>
        <w:spacing w:line="560" w:lineRule="exact"/>
        <w:ind w:firstLine="643" w:firstLineChars="200"/>
        <w:jc w:val="left"/>
        <w:rPr>
          <w:rFonts w:ascii="宋体" w:hAnsi="宋体" w:cs="宋体"/>
          <w:b/>
          <w:bCs/>
          <w:sz w:val="32"/>
          <w:szCs w:val="32"/>
          <w:highlight w:val="none"/>
        </w:rPr>
      </w:pPr>
      <w:r>
        <w:rPr>
          <w:rFonts w:hint="eastAsia" w:ascii="宋体" w:hAnsi="宋体" w:cs="宋体"/>
          <w:b/>
          <w:bCs/>
          <w:sz w:val="32"/>
          <w:szCs w:val="32"/>
          <w:highlight w:val="none"/>
        </w:rPr>
        <w:t xml:space="preserve">需方： </w:t>
      </w:r>
      <w:r>
        <w:rPr>
          <w:rFonts w:hint="eastAsia" w:ascii="宋体" w:hAnsi="宋体" w:cs="宋体"/>
          <w:sz w:val="32"/>
          <w:szCs w:val="32"/>
          <w:highlight w:val="none"/>
        </w:rPr>
        <w:t xml:space="preserve">                      </w:t>
      </w:r>
      <w:r>
        <w:rPr>
          <w:rFonts w:hint="eastAsia" w:ascii="宋体" w:hAnsi="宋体" w:cs="宋体"/>
          <w:b/>
          <w:bCs/>
          <w:sz w:val="32"/>
          <w:szCs w:val="32"/>
          <w:highlight w:val="none"/>
        </w:rPr>
        <w:t>供方：</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单位名称：                   单位名称：</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办公地址：                   办公地址：</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法定代表人：                 法定代表人：</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委托代理人：                 委托代理人：</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联系电话：                   联系电话：</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开户行：                     开户行：</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帐号：                       帐号：</w:t>
      </w:r>
    </w:p>
    <w:p>
      <w:pPr>
        <w:rPr>
          <w:highlight w:val="none"/>
        </w:rPr>
        <w:sectPr>
          <w:footerReference r:id="rId4" w:type="default"/>
          <w:pgSz w:w="11906" w:h="16839"/>
          <w:pgMar w:top="1431" w:right="1714" w:bottom="1359" w:left="1785" w:header="0" w:footer="1199" w:gutter="0"/>
          <w:pgNumType w:start="1" w:chapStyle="1"/>
          <w:cols w:space="720" w:num="1"/>
        </w:sectPr>
      </w:pPr>
    </w:p>
    <w:p>
      <w:pPr>
        <w:pStyle w:val="2"/>
        <w:spacing w:before="0" w:after="0" w:line="660" w:lineRule="exact"/>
        <w:jc w:val="center"/>
        <w:rPr>
          <w:rFonts w:ascii="方正小标宋简体" w:hAnsi="仿宋_GB2312" w:eastAsia="方正小标宋简体"/>
          <w:b w:val="0"/>
          <w:bCs/>
          <w:color w:val="000000"/>
          <w:szCs w:val="44"/>
          <w:highlight w:val="none"/>
        </w:rPr>
      </w:pPr>
      <w:bookmarkStart w:id="21" w:name="_Toc27502"/>
      <w:r>
        <w:rPr>
          <w:rFonts w:hint="eastAsia" w:ascii="方正小标宋简体" w:hAnsi="仿宋_GB2312" w:eastAsia="方正小标宋简体"/>
          <w:b w:val="0"/>
          <w:bCs/>
          <w:color w:val="000000"/>
          <w:szCs w:val="44"/>
          <w:highlight w:val="none"/>
        </w:rPr>
        <w:t>第四章 产品质量要求</w:t>
      </w:r>
      <w:bookmarkEnd w:id="21"/>
    </w:p>
    <w:p>
      <w:pPr>
        <w:rPr>
          <w:highlight w:val="none"/>
        </w:rPr>
      </w:pPr>
    </w:p>
    <w:tbl>
      <w:tblPr>
        <w:tblStyle w:val="21"/>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27"/>
        <w:gridCol w:w="883"/>
        <w:gridCol w:w="946"/>
        <w:gridCol w:w="883"/>
        <w:gridCol w:w="886"/>
        <w:gridCol w:w="881"/>
        <w:gridCol w:w="883"/>
        <w:gridCol w:w="883"/>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646" w:type="dxa"/>
            <w:vMerge w:val="restart"/>
            <w:vAlign w:val="center"/>
          </w:tcPr>
          <w:p>
            <w:pPr>
              <w:rPr>
                <w:sz w:val="24"/>
                <w:szCs w:val="24"/>
                <w:highlight w:val="none"/>
              </w:rPr>
            </w:pPr>
            <w:r>
              <w:rPr>
                <w:sz w:val="24"/>
                <w:szCs w:val="24"/>
                <w:highlight w:val="none"/>
              </w:rPr>
              <w:t>套管</w:t>
            </w:r>
          </w:p>
          <w:p>
            <w:pPr>
              <w:rPr>
                <w:sz w:val="24"/>
                <w:szCs w:val="24"/>
                <w:highlight w:val="none"/>
              </w:rPr>
            </w:pPr>
            <w:r>
              <w:rPr>
                <w:sz w:val="24"/>
                <w:szCs w:val="24"/>
                <w:highlight w:val="none"/>
              </w:rPr>
              <w:t>程序</w:t>
            </w:r>
          </w:p>
        </w:tc>
        <w:tc>
          <w:tcPr>
            <w:tcW w:w="1127" w:type="dxa"/>
            <w:vMerge w:val="restart"/>
            <w:vAlign w:val="center"/>
          </w:tcPr>
          <w:p>
            <w:pPr>
              <w:jc w:val="center"/>
              <w:rPr>
                <w:sz w:val="24"/>
                <w:szCs w:val="24"/>
                <w:highlight w:val="none"/>
              </w:rPr>
            </w:pPr>
            <w:r>
              <w:rPr>
                <w:sz w:val="24"/>
                <w:szCs w:val="24"/>
                <w:highlight w:val="none"/>
              </w:rPr>
              <w:t>套管</w:t>
            </w:r>
          </w:p>
          <w:p>
            <w:pPr>
              <w:jc w:val="center"/>
              <w:rPr>
                <w:sz w:val="24"/>
                <w:szCs w:val="24"/>
                <w:highlight w:val="none"/>
              </w:rPr>
            </w:pPr>
            <w:r>
              <w:rPr>
                <w:sz w:val="24"/>
                <w:szCs w:val="24"/>
                <w:highlight w:val="none"/>
              </w:rPr>
              <w:t>下深</w:t>
            </w:r>
          </w:p>
          <w:p>
            <w:pPr>
              <w:jc w:val="center"/>
              <w:rPr>
                <w:sz w:val="24"/>
                <w:szCs w:val="24"/>
                <w:highlight w:val="none"/>
              </w:rPr>
            </w:pPr>
            <w:r>
              <w:rPr>
                <w:sz w:val="24"/>
                <w:szCs w:val="24"/>
                <w:highlight w:val="none"/>
              </w:rPr>
              <w:t>m</w:t>
            </w:r>
          </w:p>
        </w:tc>
        <w:tc>
          <w:tcPr>
            <w:tcW w:w="883" w:type="dxa"/>
            <w:vMerge w:val="restart"/>
            <w:vAlign w:val="center"/>
          </w:tcPr>
          <w:p>
            <w:pPr>
              <w:jc w:val="center"/>
              <w:rPr>
                <w:sz w:val="24"/>
                <w:szCs w:val="24"/>
                <w:highlight w:val="none"/>
              </w:rPr>
            </w:pPr>
            <w:r>
              <w:rPr>
                <w:sz w:val="24"/>
                <w:szCs w:val="24"/>
                <w:highlight w:val="none"/>
              </w:rPr>
              <w:t>长度</w:t>
            </w:r>
          </w:p>
          <w:p>
            <w:pPr>
              <w:jc w:val="center"/>
              <w:rPr>
                <w:sz w:val="24"/>
                <w:szCs w:val="24"/>
                <w:highlight w:val="none"/>
              </w:rPr>
            </w:pPr>
            <w:r>
              <w:rPr>
                <w:sz w:val="24"/>
                <w:szCs w:val="24"/>
                <w:highlight w:val="none"/>
              </w:rPr>
              <w:t>m</w:t>
            </w:r>
          </w:p>
        </w:tc>
        <w:tc>
          <w:tcPr>
            <w:tcW w:w="946" w:type="dxa"/>
            <w:vMerge w:val="restart"/>
            <w:vAlign w:val="center"/>
          </w:tcPr>
          <w:p>
            <w:pPr>
              <w:jc w:val="center"/>
              <w:rPr>
                <w:sz w:val="24"/>
                <w:szCs w:val="24"/>
                <w:highlight w:val="none"/>
              </w:rPr>
            </w:pPr>
            <w:r>
              <w:rPr>
                <w:sz w:val="24"/>
                <w:szCs w:val="24"/>
                <w:highlight w:val="none"/>
              </w:rPr>
              <w:t>套管</w:t>
            </w:r>
          </w:p>
          <w:p>
            <w:pPr>
              <w:jc w:val="center"/>
              <w:rPr>
                <w:sz w:val="24"/>
                <w:szCs w:val="24"/>
                <w:highlight w:val="none"/>
              </w:rPr>
            </w:pPr>
            <w:r>
              <w:rPr>
                <w:sz w:val="24"/>
                <w:szCs w:val="24"/>
                <w:highlight w:val="none"/>
              </w:rPr>
              <w:t>外径</w:t>
            </w:r>
          </w:p>
          <w:p>
            <w:pPr>
              <w:jc w:val="center"/>
              <w:rPr>
                <w:sz w:val="24"/>
                <w:szCs w:val="24"/>
                <w:highlight w:val="none"/>
              </w:rPr>
            </w:pPr>
            <w:r>
              <w:rPr>
                <w:sz w:val="24"/>
                <w:szCs w:val="24"/>
                <w:highlight w:val="none"/>
              </w:rPr>
              <w:t>mm</w:t>
            </w:r>
          </w:p>
        </w:tc>
        <w:tc>
          <w:tcPr>
            <w:tcW w:w="883" w:type="dxa"/>
            <w:vMerge w:val="restart"/>
            <w:vAlign w:val="center"/>
          </w:tcPr>
          <w:p>
            <w:pPr>
              <w:jc w:val="center"/>
              <w:rPr>
                <w:sz w:val="24"/>
                <w:szCs w:val="24"/>
                <w:highlight w:val="none"/>
              </w:rPr>
            </w:pPr>
            <w:r>
              <w:rPr>
                <w:sz w:val="24"/>
                <w:szCs w:val="24"/>
                <w:highlight w:val="none"/>
              </w:rPr>
              <w:t>钢级</w:t>
            </w:r>
          </w:p>
        </w:tc>
        <w:tc>
          <w:tcPr>
            <w:tcW w:w="886" w:type="dxa"/>
            <w:vMerge w:val="restart"/>
            <w:vAlign w:val="center"/>
          </w:tcPr>
          <w:p>
            <w:pPr>
              <w:jc w:val="center"/>
              <w:rPr>
                <w:sz w:val="24"/>
                <w:szCs w:val="24"/>
                <w:highlight w:val="none"/>
              </w:rPr>
            </w:pPr>
            <w:r>
              <w:rPr>
                <w:sz w:val="24"/>
                <w:szCs w:val="24"/>
                <w:highlight w:val="none"/>
              </w:rPr>
              <w:t>壁厚</w:t>
            </w:r>
          </w:p>
          <w:p>
            <w:pPr>
              <w:jc w:val="center"/>
              <w:rPr>
                <w:sz w:val="24"/>
                <w:szCs w:val="24"/>
                <w:highlight w:val="none"/>
              </w:rPr>
            </w:pPr>
            <w:r>
              <w:rPr>
                <w:sz w:val="24"/>
                <w:szCs w:val="24"/>
                <w:highlight w:val="none"/>
              </w:rPr>
              <w:t>mm</w:t>
            </w:r>
          </w:p>
        </w:tc>
        <w:tc>
          <w:tcPr>
            <w:tcW w:w="881" w:type="dxa"/>
            <w:vMerge w:val="restart"/>
            <w:vAlign w:val="center"/>
          </w:tcPr>
          <w:p>
            <w:pPr>
              <w:jc w:val="center"/>
              <w:rPr>
                <w:sz w:val="24"/>
                <w:szCs w:val="24"/>
                <w:highlight w:val="none"/>
              </w:rPr>
            </w:pPr>
            <w:r>
              <w:rPr>
                <w:sz w:val="24"/>
                <w:szCs w:val="24"/>
                <w:highlight w:val="none"/>
              </w:rPr>
              <w:t>扣型</w:t>
            </w:r>
          </w:p>
        </w:tc>
        <w:tc>
          <w:tcPr>
            <w:tcW w:w="2652" w:type="dxa"/>
            <w:gridSpan w:val="3"/>
            <w:vAlign w:val="center"/>
          </w:tcPr>
          <w:p>
            <w:pPr>
              <w:jc w:val="center"/>
              <w:rPr>
                <w:sz w:val="24"/>
                <w:szCs w:val="24"/>
                <w:highlight w:val="none"/>
              </w:rPr>
            </w:pPr>
            <w:r>
              <w:rPr>
                <w:sz w:val="24"/>
                <w:szCs w:val="24"/>
                <w:highlight w:val="none"/>
              </w:rPr>
              <w:t>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46" w:type="dxa"/>
            <w:vMerge w:val="continue"/>
            <w:vAlign w:val="center"/>
          </w:tcPr>
          <w:p>
            <w:pPr>
              <w:rPr>
                <w:sz w:val="24"/>
                <w:szCs w:val="24"/>
                <w:highlight w:val="none"/>
              </w:rPr>
            </w:pPr>
          </w:p>
        </w:tc>
        <w:tc>
          <w:tcPr>
            <w:tcW w:w="1127" w:type="dxa"/>
            <w:vMerge w:val="continue"/>
            <w:vAlign w:val="center"/>
          </w:tcPr>
          <w:p>
            <w:pPr>
              <w:jc w:val="center"/>
              <w:rPr>
                <w:sz w:val="24"/>
                <w:szCs w:val="24"/>
                <w:highlight w:val="none"/>
              </w:rPr>
            </w:pPr>
          </w:p>
        </w:tc>
        <w:tc>
          <w:tcPr>
            <w:tcW w:w="883" w:type="dxa"/>
            <w:vMerge w:val="continue"/>
            <w:vAlign w:val="center"/>
          </w:tcPr>
          <w:p>
            <w:pPr>
              <w:jc w:val="center"/>
              <w:rPr>
                <w:sz w:val="24"/>
                <w:szCs w:val="24"/>
                <w:highlight w:val="none"/>
              </w:rPr>
            </w:pPr>
          </w:p>
        </w:tc>
        <w:tc>
          <w:tcPr>
            <w:tcW w:w="946" w:type="dxa"/>
            <w:vMerge w:val="continue"/>
            <w:vAlign w:val="center"/>
          </w:tcPr>
          <w:p>
            <w:pPr>
              <w:jc w:val="center"/>
              <w:rPr>
                <w:sz w:val="24"/>
                <w:szCs w:val="24"/>
                <w:highlight w:val="none"/>
              </w:rPr>
            </w:pPr>
          </w:p>
        </w:tc>
        <w:tc>
          <w:tcPr>
            <w:tcW w:w="883" w:type="dxa"/>
            <w:vMerge w:val="continue"/>
            <w:vAlign w:val="center"/>
          </w:tcPr>
          <w:p>
            <w:pPr>
              <w:jc w:val="center"/>
              <w:rPr>
                <w:sz w:val="24"/>
                <w:szCs w:val="24"/>
                <w:highlight w:val="none"/>
              </w:rPr>
            </w:pPr>
          </w:p>
        </w:tc>
        <w:tc>
          <w:tcPr>
            <w:tcW w:w="886" w:type="dxa"/>
            <w:vMerge w:val="continue"/>
            <w:vAlign w:val="center"/>
          </w:tcPr>
          <w:p>
            <w:pPr>
              <w:jc w:val="center"/>
              <w:rPr>
                <w:sz w:val="24"/>
                <w:szCs w:val="24"/>
                <w:highlight w:val="none"/>
              </w:rPr>
            </w:pPr>
          </w:p>
        </w:tc>
        <w:tc>
          <w:tcPr>
            <w:tcW w:w="881" w:type="dxa"/>
            <w:vMerge w:val="continue"/>
            <w:vAlign w:val="center"/>
          </w:tcPr>
          <w:p>
            <w:pPr>
              <w:jc w:val="center"/>
              <w:rPr>
                <w:sz w:val="24"/>
                <w:szCs w:val="24"/>
                <w:highlight w:val="none"/>
              </w:rPr>
            </w:pPr>
          </w:p>
        </w:tc>
        <w:tc>
          <w:tcPr>
            <w:tcW w:w="883" w:type="dxa"/>
            <w:vAlign w:val="center"/>
          </w:tcPr>
          <w:p>
            <w:pPr>
              <w:jc w:val="center"/>
              <w:rPr>
                <w:sz w:val="24"/>
                <w:szCs w:val="24"/>
                <w:highlight w:val="none"/>
              </w:rPr>
            </w:pPr>
            <w:r>
              <w:rPr>
                <w:sz w:val="24"/>
                <w:szCs w:val="24"/>
                <w:highlight w:val="none"/>
              </w:rPr>
              <w:t>抗拉</w:t>
            </w:r>
          </w:p>
        </w:tc>
        <w:tc>
          <w:tcPr>
            <w:tcW w:w="883" w:type="dxa"/>
            <w:vAlign w:val="center"/>
          </w:tcPr>
          <w:p>
            <w:pPr>
              <w:jc w:val="center"/>
              <w:rPr>
                <w:sz w:val="24"/>
                <w:szCs w:val="24"/>
                <w:highlight w:val="none"/>
              </w:rPr>
            </w:pPr>
            <w:r>
              <w:rPr>
                <w:sz w:val="24"/>
                <w:szCs w:val="24"/>
                <w:highlight w:val="none"/>
              </w:rPr>
              <w:t>抗挤</w:t>
            </w:r>
          </w:p>
        </w:tc>
        <w:tc>
          <w:tcPr>
            <w:tcW w:w="886" w:type="dxa"/>
            <w:vAlign w:val="center"/>
          </w:tcPr>
          <w:p>
            <w:pPr>
              <w:jc w:val="center"/>
              <w:rPr>
                <w:sz w:val="24"/>
                <w:szCs w:val="24"/>
                <w:highlight w:val="none"/>
              </w:rPr>
            </w:pPr>
            <w:r>
              <w:rPr>
                <w:sz w:val="24"/>
                <w:szCs w:val="24"/>
                <w:highlight w:val="none"/>
              </w:rPr>
              <w:t>抗内压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646" w:type="dxa"/>
            <w:vAlign w:val="center"/>
          </w:tcPr>
          <w:p>
            <w:pPr>
              <w:rPr>
                <w:rFonts w:hint="eastAsia" w:eastAsia="宋体"/>
                <w:sz w:val="24"/>
                <w:szCs w:val="24"/>
                <w:highlight w:val="none"/>
                <w:lang w:val="en-US" w:eastAsia="zh-CN"/>
              </w:rPr>
            </w:pPr>
            <w:r>
              <w:rPr>
                <w:rFonts w:hint="eastAsia"/>
                <w:sz w:val="24"/>
                <w:szCs w:val="24"/>
                <w:highlight w:val="none"/>
                <w:lang w:val="en-US" w:eastAsia="zh-CN"/>
              </w:rPr>
              <w:t>二开</w:t>
            </w:r>
          </w:p>
        </w:tc>
        <w:tc>
          <w:tcPr>
            <w:tcW w:w="1127" w:type="dxa"/>
            <w:vAlign w:val="center"/>
          </w:tcPr>
          <w:p>
            <w:pPr>
              <w:jc w:val="center"/>
              <w:rPr>
                <w:rFonts w:hint="default" w:eastAsia="宋体"/>
                <w:sz w:val="24"/>
                <w:szCs w:val="24"/>
                <w:highlight w:val="none"/>
                <w:lang w:val="en-US" w:eastAsia="zh-CN"/>
              </w:rPr>
            </w:pPr>
            <w:r>
              <w:rPr>
                <w:sz w:val="24"/>
                <w:szCs w:val="24"/>
                <w:highlight w:val="none"/>
              </w:rPr>
              <w:t>0～</w:t>
            </w:r>
            <w:r>
              <w:rPr>
                <w:rFonts w:hint="eastAsia"/>
                <w:sz w:val="24"/>
                <w:szCs w:val="24"/>
                <w:highlight w:val="none"/>
                <w:lang w:val="en-US" w:eastAsia="zh-CN"/>
              </w:rPr>
              <w:t>995</w:t>
            </w:r>
          </w:p>
        </w:tc>
        <w:tc>
          <w:tcPr>
            <w:tcW w:w="883" w:type="dxa"/>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995</w:t>
            </w:r>
          </w:p>
        </w:tc>
        <w:tc>
          <w:tcPr>
            <w:tcW w:w="946" w:type="dxa"/>
            <w:vAlign w:val="center"/>
          </w:tcPr>
          <w:p>
            <w:pPr>
              <w:rPr>
                <w:rFonts w:hint="default" w:eastAsia="宋体"/>
                <w:sz w:val="24"/>
                <w:szCs w:val="24"/>
                <w:highlight w:val="none"/>
                <w:lang w:val="en-US" w:eastAsia="zh-CN"/>
              </w:rPr>
            </w:pPr>
            <w:r>
              <w:rPr>
                <w:sz w:val="24"/>
                <w:szCs w:val="24"/>
                <w:highlight w:val="none"/>
              </w:rPr>
              <w:t>Ф</w:t>
            </w:r>
            <w:r>
              <w:rPr>
                <w:rFonts w:hint="eastAsia"/>
                <w:sz w:val="24"/>
                <w:szCs w:val="24"/>
                <w:highlight w:val="none"/>
                <w:lang w:val="en-US" w:eastAsia="zh-CN"/>
              </w:rPr>
              <w:t>339.7</w:t>
            </w:r>
          </w:p>
        </w:tc>
        <w:tc>
          <w:tcPr>
            <w:tcW w:w="883" w:type="dxa"/>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P110</w:t>
            </w:r>
          </w:p>
        </w:tc>
        <w:tc>
          <w:tcPr>
            <w:tcW w:w="886" w:type="dxa"/>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13.06</w:t>
            </w:r>
          </w:p>
        </w:tc>
        <w:tc>
          <w:tcPr>
            <w:tcW w:w="881" w:type="dxa"/>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气密扣</w:t>
            </w:r>
          </w:p>
        </w:tc>
        <w:tc>
          <w:tcPr>
            <w:tcW w:w="883" w:type="dxa"/>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17.56</w:t>
            </w:r>
          </w:p>
        </w:tc>
        <w:tc>
          <w:tcPr>
            <w:tcW w:w="883" w:type="dxa"/>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1.64</w:t>
            </w:r>
          </w:p>
        </w:tc>
        <w:tc>
          <w:tcPr>
            <w:tcW w:w="886" w:type="dxa"/>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3.52</w:t>
            </w:r>
          </w:p>
        </w:tc>
      </w:tr>
    </w:tbl>
    <w:p>
      <w:pPr>
        <w:pStyle w:val="18"/>
        <w:ind w:left="0" w:leftChars="0" w:firstLine="640" w:firstLineChars="200"/>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注：(1)盐层段套管抗外挤强度校核考虑盐岩蠕变;(2)生产套管在井段 890m~900m 采用耐高压氧腐蚀内侧熔覆焊合金管(具体下入井段根据实钻数据进行调整)</w:t>
      </w:r>
    </w:p>
    <w:p>
      <w:pPr>
        <w:pStyle w:val="18"/>
        <w:ind w:left="0" w:leftChars="0" w:firstLine="640" w:firstLineChars="200"/>
        <w:rPr>
          <w:rFonts w:hint="eastAsia" w:eastAsia="宋体"/>
          <w:highlight w:val="none"/>
          <w:lang w:eastAsia="zh-CN"/>
        </w:rPr>
      </w:pPr>
      <w:r>
        <w:rPr>
          <w:rFonts w:hint="eastAsia" w:ascii="宋体" w:hAnsi="宋体" w:cs="宋体"/>
          <w:sz w:val="32"/>
          <w:szCs w:val="32"/>
          <w:highlight w:val="none"/>
          <w:lang w:val="en-US" w:eastAsia="zh-CN"/>
        </w:rPr>
        <w:t>本次套管指定</w:t>
      </w:r>
      <w:r>
        <w:rPr>
          <w:rFonts w:hint="eastAsia" w:ascii="宋体" w:hAnsi="宋体" w:cs="宋体"/>
          <w:sz w:val="32"/>
          <w:szCs w:val="32"/>
          <w:highlight w:val="none"/>
          <w:lang w:eastAsia="zh-CN"/>
        </w:rPr>
        <w:t>宝钢钢厂，</w:t>
      </w:r>
      <w:r>
        <w:rPr>
          <w:rFonts w:hint="eastAsia" w:ascii="宋体" w:hAnsi="宋体" w:cs="宋体"/>
          <w:sz w:val="32"/>
          <w:szCs w:val="32"/>
          <w:highlight w:val="none"/>
          <w:lang w:val="en-US" w:eastAsia="zh-CN"/>
        </w:rPr>
        <w:t>需</w:t>
      </w:r>
      <w:r>
        <w:rPr>
          <w:rFonts w:hint="eastAsia" w:ascii="宋体" w:hAnsi="宋体" w:cs="宋体"/>
          <w:sz w:val="32"/>
          <w:szCs w:val="32"/>
          <w:highlight w:val="none"/>
          <w:lang w:eastAsia="zh-CN"/>
        </w:rPr>
        <w:t>提供</w:t>
      </w:r>
      <w:r>
        <w:rPr>
          <w:rFonts w:hint="eastAsia" w:ascii="宋体" w:hAnsi="宋体" w:cs="宋体"/>
          <w:sz w:val="32"/>
          <w:szCs w:val="32"/>
          <w:highlight w:val="none"/>
          <w:lang w:val="en-US" w:eastAsia="zh-CN"/>
        </w:rPr>
        <w:t>宝钢的</w:t>
      </w:r>
      <w:r>
        <w:rPr>
          <w:rFonts w:hint="eastAsia" w:ascii="宋体" w:hAnsi="宋体" w:cs="宋体"/>
          <w:sz w:val="32"/>
          <w:szCs w:val="32"/>
          <w:highlight w:val="none"/>
          <w:lang w:eastAsia="zh-CN"/>
        </w:rPr>
        <w:t>光管原厂的质保书，</w:t>
      </w:r>
      <w:r>
        <w:rPr>
          <w:rFonts w:hint="eastAsia" w:ascii="宋体" w:hAnsi="宋体" w:cs="宋体"/>
          <w:sz w:val="32"/>
          <w:szCs w:val="32"/>
          <w:highlight w:val="none"/>
        </w:rPr>
        <w:t>每根成品套管需有产品合格证，同一批次成品套管需有产品质检报告，符合规范安全性能。</w:t>
      </w:r>
    </w:p>
    <w:p>
      <w:pPr>
        <w:pStyle w:val="2"/>
        <w:spacing w:before="0" w:after="0" w:line="660" w:lineRule="exact"/>
        <w:jc w:val="center"/>
        <w:rPr>
          <w:rFonts w:ascii="方正小标宋简体" w:hAnsi="仿宋_GB2312" w:eastAsia="方正小标宋简体"/>
          <w:b w:val="0"/>
          <w:bCs/>
          <w:color w:val="000000"/>
          <w:szCs w:val="44"/>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ascii="黑体" w:hAnsi="黑体" w:eastAsia="黑体" w:cs="黑体"/>
          <w:sz w:val="32"/>
          <w:szCs w:val="32"/>
          <w:highlight w:val="none"/>
        </w:rPr>
      </w:pPr>
      <w:r>
        <w:rPr>
          <w:rFonts w:hint="eastAsia" w:ascii="方正小标宋简体" w:hAnsi="仿宋_GB2312" w:eastAsia="方正小标宋简体"/>
          <w:b w:val="0"/>
          <w:bCs/>
          <w:color w:val="000000"/>
          <w:szCs w:val="44"/>
          <w:highlight w:val="none"/>
        </w:rPr>
        <w:t>第五章 评标办法</w:t>
      </w:r>
    </w:p>
    <w:tbl>
      <w:tblPr>
        <w:tblStyle w:val="21"/>
        <w:tblpPr w:leftFromText="180" w:rightFromText="180" w:vertAnchor="text" w:horzAnchor="page" w:tblpX="1479" w:tblpY="94"/>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224"/>
        <w:gridCol w:w="655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评审项目</w:t>
            </w:r>
          </w:p>
        </w:tc>
        <w:tc>
          <w:tcPr>
            <w:tcW w:w="65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评分要求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szCs w:val="21"/>
                <w:highlight w:val="none"/>
              </w:rPr>
            </w:pPr>
            <w:r>
              <w:rPr>
                <w:rFonts w:hint="eastAsia" w:ascii="宋体" w:hAnsi="宋体"/>
                <w:b/>
                <w:bCs/>
                <w:color w:val="000000"/>
                <w:szCs w:val="21"/>
                <w:highlight w:val="none"/>
              </w:rPr>
              <w:t>投标响应页码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付款方式</w:t>
            </w:r>
          </w:p>
          <w:p>
            <w:pPr>
              <w:spacing w:line="300" w:lineRule="exact"/>
              <w:jc w:val="center"/>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r>
              <w:rPr>
                <w:rFonts w:hint="eastAsia" w:ascii="宋体" w:hAnsi="宋体" w:cs="宋体"/>
                <w:szCs w:val="21"/>
                <w:highlight w:val="none"/>
                <w:lang w:eastAsia="zh-CN"/>
              </w:rPr>
              <w:t>谈判响应人</w:t>
            </w:r>
            <w:r>
              <w:rPr>
                <w:rFonts w:hint="eastAsia" w:ascii="宋体" w:hAnsi="宋体" w:cs="宋体"/>
                <w:szCs w:val="21"/>
                <w:highlight w:val="none"/>
              </w:rPr>
              <w:t>自报的优于采购条件的付款，给予一定程度加分，最高不超过</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4"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1224"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企业资信（</w:t>
            </w: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6558" w:type="dxa"/>
            <w:tcBorders>
              <w:top w:val="single" w:color="auto" w:sz="4" w:space="0"/>
              <w:left w:val="single" w:color="auto" w:sz="4" w:space="0"/>
              <w:right w:val="single" w:color="auto" w:sz="4" w:space="0"/>
            </w:tcBorders>
            <w:vAlign w:val="center"/>
          </w:tcPr>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eastAsia="zh-CN"/>
              </w:rPr>
              <w:t>谈判响应人</w:t>
            </w:r>
            <w:r>
              <w:rPr>
                <w:rFonts w:hint="eastAsia" w:ascii="宋体" w:hAnsi="宋体" w:cs="宋体"/>
                <w:szCs w:val="21"/>
                <w:highlight w:val="none"/>
              </w:rPr>
              <w:t>注册资金、实缴资金、企业规模、企业性质、资信良好无不良记录，财务状况良好，提供资料齐全，不存在资不抵债等情况进行打分：</w:t>
            </w:r>
          </w:p>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rPr>
              <w:t>优秀得</w:t>
            </w:r>
            <w:r>
              <w:rPr>
                <w:rFonts w:hint="eastAsia" w:ascii="宋体" w:hAnsi="宋体" w:cs="宋体"/>
                <w:szCs w:val="21"/>
                <w:highlight w:val="none"/>
                <w:lang w:val="en-US" w:eastAsia="zh-CN"/>
              </w:rPr>
              <w:t>2</w:t>
            </w:r>
            <w:r>
              <w:rPr>
                <w:rFonts w:hint="eastAsia" w:ascii="宋体" w:hAnsi="宋体" w:cs="宋体"/>
                <w:szCs w:val="21"/>
                <w:highlight w:val="none"/>
              </w:rPr>
              <w:t>分，良好得</w:t>
            </w:r>
            <w:r>
              <w:rPr>
                <w:rFonts w:hint="eastAsia" w:ascii="宋体" w:hAnsi="宋体" w:cs="宋体"/>
                <w:szCs w:val="21"/>
                <w:highlight w:val="none"/>
                <w:lang w:val="en-US" w:eastAsia="zh-CN"/>
              </w:rPr>
              <w:t>1</w:t>
            </w:r>
            <w:r>
              <w:rPr>
                <w:rFonts w:hint="eastAsia" w:ascii="宋体" w:hAnsi="宋体" w:cs="宋体"/>
                <w:szCs w:val="21"/>
                <w:highlight w:val="none"/>
              </w:rPr>
              <w:t>分，一般得</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7" w:hRule="atLeast"/>
        </w:trPr>
        <w:tc>
          <w:tcPr>
            <w:tcW w:w="479" w:type="dxa"/>
            <w:tcBorders>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价</w:t>
            </w:r>
            <w:r>
              <w:rPr>
                <w:rFonts w:hint="eastAsia" w:ascii="宋体" w:hAnsi="宋体" w:cs="宋体"/>
                <w:szCs w:val="21"/>
                <w:highlight w:val="none"/>
              </w:rPr>
              <w:t>格分</w:t>
            </w:r>
            <w:r>
              <w:rPr>
                <w:rFonts w:hint="eastAsia" w:ascii="宋体" w:hAnsi="宋体" w:cs="宋体"/>
                <w:szCs w:val="21"/>
                <w:highlight w:val="none"/>
                <w:lang w:val="en-US" w:eastAsia="zh-CN"/>
              </w:rPr>
              <w:t>95</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0"/>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w:t>
            </w:r>
          </w:p>
          <w:p>
            <w:pPr>
              <w:pStyle w:val="30"/>
              <w:spacing w:line="240" w:lineRule="exact"/>
              <w:ind w:firstLine="0" w:firstLineChars="0"/>
              <w:rPr>
                <w:rFonts w:ascii="宋体" w:hAnsi="宋体" w:cs="宋体"/>
                <w:szCs w:val="21"/>
                <w:highlight w:val="none"/>
                <w:lang w:val="en-US"/>
              </w:rPr>
            </w:pPr>
            <w:r>
              <w:rPr>
                <w:rFonts w:hint="eastAsia" w:ascii="宋体" w:hAnsi="宋体" w:cs="宋体"/>
                <w:szCs w:val="21"/>
                <w:highlight w:val="none"/>
                <w:lang w:eastAsia="zh-Hans"/>
              </w:rPr>
              <w:tab/>
            </w:r>
            <w:r>
              <w:rPr>
                <w:rFonts w:hint="eastAsia" w:ascii="宋体" w:hAnsi="宋体" w:cs="宋体"/>
                <w:szCs w:val="21"/>
                <w:highlight w:val="none"/>
                <w:lang w:eastAsia="zh-Hans"/>
              </w:rPr>
              <w:t>Fi=</w:t>
            </w:r>
            <w:r>
              <w:rPr>
                <w:rFonts w:hint="eastAsia" w:ascii="宋体" w:hAnsi="宋体" w:cs="宋体"/>
                <w:szCs w:val="21"/>
                <w:highlight w:val="none"/>
                <w:lang w:eastAsia="zh-Hans"/>
              </w:rPr>
              <w:tab/>
            </w:r>
            <w:r>
              <w:rPr>
                <w:rFonts w:hint="eastAsia" w:ascii="宋体" w:hAnsi="宋体" w:cs="宋体"/>
                <w:szCs w:val="21"/>
                <w:highlight w:val="none"/>
                <w:lang w:eastAsia="zh-Hans"/>
              </w:rPr>
              <w:t xml:space="preserve">      </w:t>
            </w:r>
            <w:r>
              <w:rPr>
                <w:rFonts w:hint="eastAsia" w:ascii="宋体" w:hAnsi="宋体" w:cs="宋体"/>
                <w:szCs w:val="21"/>
                <w:highlight w:val="none"/>
              </w:rPr>
              <mc:AlternateContent>
                <mc:Choice Requires="wpg">
                  <w:drawing>
                    <wp:inline distT="0" distB="0" distL="0" distR="0">
                      <wp:extent cx="928370" cy="6350"/>
                      <wp:effectExtent l="0" t="4445" r="5080" b="1905"/>
                      <wp:docPr id="4"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2604"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HxdP1AAAAAMBAAAPAAAAAAAAAAEAIAAAACIAAABkcnMvZG93bnJldi54bWxQ&#10;SwECFAAUAAAACACHTuJAZyP0vDQCAABCBQAADgAAAAAAAAABACAAAAAjAQAAZHJzL2Uyb0RvYy54&#10;bWxQSwUGAAAAAAYABgBZAQAAyQUAAAAA&#10;">
                      <o:lock v:ext="edit" aspectratio="f"/>
                      <v:shape id="Shape 2604" o:spid="_x0000_s1026" o:spt="100" style="position:absolute;left:0;top:0;height:0;width:928370;" filled="f" stroked="t" coordsize="928370,1" o:gfxdata="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DKUvQAA&#10;AN0AAAAPAAAAAAAAAAEAIAAAACIAAABkcnMvZG93bnJldi54bWxQSwECFAAUAAAACACHTuJAMy8F&#10;njsAAAA5AAAAEAAAAAAAAAABACAAAAAMAQAAZHJzL3NoYXBleG1sLnhtbFBLBQYAAAAABgAGAFsB&#10;AAC2AwAAA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highlight w:val="none"/>
                <w:lang w:eastAsia="zh-Hans"/>
              </w:rPr>
              <w:t xml:space="preserve"> ×</w:t>
            </w:r>
            <w:r>
              <w:rPr>
                <w:rFonts w:hint="eastAsia" w:ascii="宋体" w:hAnsi="宋体" w:cs="宋体"/>
                <w:szCs w:val="21"/>
                <w:highlight w:val="none"/>
                <w:lang w:val="en-US" w:eastAsia="zh-CN"/>
              </w:rPr>
              <w:t>95</w:t>
            </w:r>
          </w:p>
          <w:p>
            <w:pPr>
              <w:pStyle w:val="30"/>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Di</w:t>
            </w:r>
          </w:p>
          <w:p>
            <w:pPr>
              <w:pStyle w:val="30"/>
              <w:spacing w:line="240" w:lineRule="exact"/>
              <w:ind w:firstLine="0" w:firstLineChars="0"/>
              <w:rPr>
                <w:rFonts w:ascii="宋体" w:hAnsi="宋体" w:cs="宋体"/>
                <w:szCs w:val="21"/>
                <w:highlight w:val="none"/>
                <w:lang w:eastAsia="zh-Hans"/>
              </w:rPr>
            </w:pPr>
          </w:p>
          <w:p>
            <w:pPr>
              <w:pStyle w:val="30"/>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Fi—</w:t>
            </w:r>
            <w:r>
              <w:rPr>
                <w:rFonts w:hint="eastAsia" w:ascii="宋体" w:hAnsi="宋体" w:cs="宋体"/>
                <w:szCs w:val="21"/>
                <w:highlight w:val="none"/>
                <w:lang w:eastAsia="zh-CN"/>
              </w:rPr>
              <w:t>谈判响应人</w:t>
            </w:r>
            <w:r>
              <w:rPr>
                <w:rFonts w:hint="eastAsia" w:ascii="宋体" w:hAnsi="宋体" w:cs="宋体"/>
                <w:szCs w:val="21"/>
                <w:highlight w:val="none"/>
                <w:lang w:eastAsia="zh-Hans"/>
              </w:rPr>
              <w:t>投标报价得分；</w:t>
            </w:r>
          </w:p>
          <w:p>
            <w:pPr>
              <w:pStyle w:val="30"/>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Di—</w:t>
            </w:r>
            <w:r>
              <w:rPr>
                <w:rFonts w:hint="eastAsia" w:ascii="宋体" w:hAnsi="宋体" w:cs="宋体"/>
                <w:szCs w:val="21"/>
                <w:highlight w:val="none"/>
                <w:lang w:eastAsia="zh-CN"/>
              </w:rPr>
              <w:t>谈判响应人</w:t>
            </w:r>
            <w:r>
              <w:rPr>
                <w:rFonts w:hint="eastAsia" w:ascii="宋体" w:hAnsi="宋体" w:cs="宋体"/>
                <w:szCs w:val="21"/>
                <w:highlight w:val="none"/>
                <w:lang w:eastAsia="zh-Hans"/>
              </w:rPr>
              <w:t>的有效的投标报价；</w:t>
            </w:r>
          </w:p>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lang w:eastAsia="zh-Hans"/>
              </w:rPr>
              <w:t>D—评标基准价</w:t>
            </w:r>
            <w:r>
              <w:rPr>
                <w:rFonts w:hint="eastAsia" w:ascii="宋体" w:hAnsi="宋体" w:cs="宋体"/>
                <w:szCs w:val="21"/>
                <w:highlight w:val="none"/>
              </w:rPr>
              <w:t>，合格</w:t>
            </w:r>
            <w:r>
              <w:rPr>
                <w:rFonts w:hint="eastAsia" w:ascii="宋体" w:hAnsi="宋体" w:cs="宋体"/>
                <w:szCs w:val="21"/>
                <w:highlight w:val="none"/>
                <w:lang w:eastAsia="zh-CN"/>
              </w:rPr>
              <w:t>谈判响应人</w:t>
            </w:r>
            <w:r>
              <w:rPr>
                <w:rFonts w:hint="eastAsia" w:ascii="宋体" w:hAnsi="宋体" w:cs="宋体"/>
                <w:szCs w:val="21"/>
                <w:highlight w:val="none"/>
              </w:rPr>
              <w:t>中的最低报价作为评标基准价。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zCs w:val="21"/>
                <w:highlight w:val="none"/>
              </w:rPr>
            </w:pPr>
          </w:p>
        </w:tc>
      </w:tr>
    </w:tbl>
    <w:p>
      <w:pPr>
        <w:rPr>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第六章  谈判响应文件格式</w:t>
      </w:r>
      <w:bookmarkEnd w:id="12"/>
      <w:bookmarkEnd w:id="13"/>
      <w:bookmarkEnd w:id="14"/>
      <w:bookmarkEnd w:id="15"/>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22" w:name="_Toc256695437"/>
      <w:bookmarkStart w:id="23" w:name="_Toc256691561"/>
      <w:r>
        <w:rPr>
          <w:rFonts w:hint="eastAsia" w:ascii="仿宋_GB2312" w:eastAsia="仿宋_GB2312"/>
          <w:b/>
          <w:bCs/>
          <w:sz w:val="36"/>
          <w:szCs w:val="36"/>
          <w:highlight w:val="none"/>
        </w:rPr>
        <w:t>(项目名称)</w:t>
      </w:r>
      <w:bookmarkEnd w:id="22"/>
      <w:bookmarkEnd w:id="23"/>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4" w:name="_Toc256695438"/>
      <w:bookmarkStart w:id="25" w:name="_Toc256691562"/>
      <w:r>
        <w:rPr>
          <w:rFonts w:hint="eastAsia" w:ascii="仿宋_GB2312" w:hAnsi="Cambria" w:eastAsia="仿宋_GB2312"/>
          <w:b/>
          <w:spacing w:val="-20"/>
          <w:sz w:val="52"/>
          <w:szCs w:val="52"/>
          <w:highlight w:val="none"/>
        </w:rPr>
        <w:t>谈 判 响 应 文 件</w:t>
      </w:r>
      <w:bookmarkEnd w:id="24"/>
      <w:bookmarkEnd w:id="25"/>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26" w:name="_Toc256695439"/>
      <w:bookmarkStart w:id="27" w:name="_Toc256691563"/>
      <w:r>
        <w:rPr>
          <w:rFonts w:hint="eastAsia" w:ascii="仿宋_GB2312" w:hAnsi="宋体" w:eastAsia="仿宋_GB2312"/>
          <w:sz w:val="32"/>
          <w:szCs w:val="32"/>
          <w:highlight w:val="none"/>
        </w:rPr>
        <w:t>项目编号：(         )</w:t>
      </w:r>
      <w:bookmarkEnd w:id="26"/>
      <w:bookmarkEnd w:id="27"/>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8" w:name="_Toc256691564"/>
      <w:bookmarkStart w:id="29" w:name="_Toc256695440"/>
      <w:r>
        <w:rPr>
          <w:rFonts w:hint="eastAsia" w:ascii="仿宋_GB2312" w:eastAsia="仿宋_GB2312"/>
          <w:b/>
          <w:sz w:val="32"/>
          <w:szCs w:val="32"/>
          <w:highlight w:val="none"/>
        </w:rPr>
        <w:t xml:space="preserve">         谈判响应人：</w:t>
      </w:r>
      <w:bookmarkEnd w:id="28"/>
      <w:bookmarkEnd w:id="29"/>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30" w:name="_Toc256691565"/>
      <w:bookmarkStart w:id="31"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30"/>
      <w:bookmarkEnd w:id="31"/>
    </w:p>
    <w:p>
      <w:pPr>
        <w:jc w:val="center"/>
        <w:rPr>
          <w:rStyle w:val="27"/>
          <w:rFonts w:ascii="宋体" w:hAnsi="宋体" w:cstheme="minorBidi"/>
          <w:b w:val="0"/>
          <w:highlight w:val="none"/>
        </w:rPr>
      </w:pPr>
      <w:bookmarkStart w:id="32" w:name="_Toc96584968"/>
      <w:bookmarkStart w:id="33" w:name="_Toc96585094"/>
      <w:r>
        <w:rPr>
          <w:rStyle w:val="27"/>
          <w:rFonts w:hint="eastAsia" w:ascii="宋体" w:hAnsi="宋体" w:cstheme="minorBidi"/>
          <w:b w:val="0"/>
          <w:highlight w:val="none"/>
        </w:rPr>
        <w:t>目  录</w:t>
      </w:r>
      <w:bookmarkEnd w:id="32"/>
      <w:bookmarkEnd w:id="33"/>
    </w:p>
    <w:p>
      <w:pPr>
        <w:numPr>
          <w:ilvl w:val="0"/>
          <w:numId w:val="2"/>
        </w:numPr>
        <w:spacing w:line="240" w:lineRule="atLeast"/>
        <w:rPr>
          <w:rFonts w:ascii="宋体" w:hAnsi="宋体" w:cs="宋体"/>
          <w:sz w:val="32"/>
          <w:szCs w:val="32"/>
          <w:highlight w:val="none"/>
        </w:rPr>
      </w:pPr>
      <w:bookmarkStart w:id="34" w:name="_Toc256695462"/>
      <w:bookmarkStart w:id="35" w:name="_Toc256691586"/>
      <w:r>
        <w:rPr>
          <w:rFonts w:hint="eastAsia" w:ascii="宋体" w:hAnsi="宋体" w:cs="宋体"/>
          <w:sz w:val="32"/>
          <w:szCs w:val="32"/>
          <w:highlight w:val="none"/>
          <w:lang w:val="en-US" w:eastAsia="zh-CN"/>
        </w:rPr>
        <w:t>响应</w:t>
      </w:r>
      <w:r>
        <w:rPr>
          <w:rFonts w:hint="eastAsia" w:ascii="宋体" w:hAnsi="宋体" w:cs="宋体"/>
          <w:sz w:val="32"/>
          <w:szCs w:val="32"/>
          <w:highlight w:val="none"/>
        </w:rPr>
        <w:t>函</w:t>
      </w:r>
      <w:bookmarkEnd w:id="34"/>
      <w:bookmarkEnd w:id="35"/>
    </w:p>
    <w:p>
      <w:pPr>
        <w:numPr>
          <w:ilvl w:val="0"/>
          <w:numId w:val="2"/>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pPr>
        <w:spacing w:line="240" w:lineRule="atLeast"/>
        <w:rPr>
          <w:rFonts w:ascii="宋体" w:hAnsi="宋体" w:cs="宋体"/>
          <w:sz w:val="32"/>
          <w:szCs w:val="32"/>
          <w:highlight w:val="none"/>
        </w:rPr>
      </w:pPr>
      <w:bookmarkStart w:id="36" w:name="_Toc256695463"/>
      <w:bookmarkStart w:id="37" w:name="_Toc256691587"/>
      <w:r>
        <w:rPr>
          <w:rFonts w:hint="eastAsia" w:ascii="宋体" w:hAnsi="宋体" w:cs="宋体"/>
          <w:sz w:val="32"/>
          <w:szCs w:val="32"/>
          <w:highlight w:val="none"/>
        </w:rPr>
        <w:t>三、法定代表人身份证明</w:t>
      </w:r>
      <w:bookmarkEnd w:id="36"/>
      <w:bookmarkEnd w:id="37"/>
      <w:r>
        <w:rPr>
          <w:rFonts w:hint="eastAsia" w:ascii="宋体" w:hAnsi="宋体" w:cs="宋体"/>
          <w:sz w:val="32"/>
          <w:szCs w:val="32"/>
          <w:highlight w:val="none"/>
        </w:rPr>
        <w:t>书</w:t>
      </w:r>
    </w:p>
    <w:p>
      <w:pPr>
        <w:spacing w:line="240" w:lineRule="atLeast"/>
        <w:rPr>
          <w:rFonts w:ascii="宋体" w:hAnsi="宋体" w:cs="宋体"/>
          <w:sz w:val="32"/>
          <w:szCs w:val="32"/>
          <w:highlight w:val="none"/>
        </w:rPr>
      </w:pPr>
      <w:bookmarkStart w:id="38" w:name="_Toc256691588"/>
      <w:bookmarkStart w:id="39" w:name="_Toc256695464"/>
      <w:r>
        <w:rPr>
          <w:rFonts w:hint="eastAsia" w:ascii="宋体" w:hAnsi="宋体" w:cs="宋体"/>
          <w:sz w:val="32"/>
          <w:szCs w:val="32"/>
          <w:highlight w:val="none"/>
        </w:rPr>
        <w:t>四、</w:t>
      </w:r>
      <w:bookmarkEnd w:id="16"/>
      <w:bookmarkEnd w:id="38"/>
      <w:bookmarkEnd w:id="39"/>
      <w:r>
        <w:rPr>
          <w:rFonts w:hint="eastAsia" w:ascii="宋体" w:hAnsi="宋体" w:cs="宋体"/>
          <w:sz w:val="32"/>
          <w:szCs w:val="32"/>
          <w:highlight w:val="none"/>
        </w:rPr>
        <w:t>法定代表人授权书</w:t>
      </w:r>
    </w:p>
    <w:p>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七、征信报告</w:t>
      </w:r>
    </w:p>
    <w:p>
      <w:pPr>
        <w:spacing w:line="240" w:lineRule="atLeast"/>
        <w:rPr>
          <w:rFonts w:ascii="宋体" w:hAnsi="宋体" w:cs="宋体"/>
          <w:sz w:val="32"/>
          <w:szCs w:val="32"/>
          <w:highlight w:val="none"/>
        </w:rPr>
      </w:pPr>
      <w:r>
        <w:rPr>
          <w:rFonts w:hint="eastAsia" w:ascii="宋体" w:hAnsi="宋体" w:cs="宋体"/>
          <w:sz w:val="32"/>
          <w:szCs w:val="32"/>
          <w:highlight w:val="none"/>
        </w:rPr>
        <w:t>八、业绩证明</w:t>
      </w:r>
    </w:p>
    <w:p>
      <w:pPr>
        <w:spacing w:line="240" w:lineRule="atLeast"/>
        <w:rPr>
          <w:rFonts w:ascii="宋体" w:hAnsi="宋体" w:cs="宋体"/>
          <w:sz w:val="32"/>
          <w:szCs w:val="32"/>
          <w:highlight w:val="none"/>
        </w:rPr>
      </w:pPr>
      <w:r>
        <w:rPr>
          <w:rFonts w:hint="eastAsia" w:ascii="宋体" w:hAnsi="宋体" w:cs="宋体"/>
          <w:sz w:val="32"/>
          <w:szCs w:val="32"/>
          <w:highlight w:val="none"/>
        </w:rPr>
        <w:t>九、资格证明文件</w:t>
      </w:r>
    </w:p>
    <w:p>
      <w:pPr>
        <w:spacing w:line="240" w:lineRule="atLeast"/>
        <w:rPr>
          <w:rFonts w:ascii="宋体" w:hAnsi="宋体" w:cs="宋体"/>
          <w:sz w:val="32"/>
          <w:szCs w:val="32"/>
          <w:highlight w:val="none"/>
        </w:rPr>
      </w:pPr>
    </w:p>
    <w:p>
      <w:pPr>
        <w:rPr>
          <w:rStyle w:val="27"/>
          <w:rFonts w:ascii="宋体" w:hAnsi="宋体"/>
          <w:b w:val="0"/>
          <w:highlight w:val="none"/>
        </w:rPr>
      </w:pPr>
      <w:r>
        <w:rPr>
          <w:rStyle w:val="27"/>
          <w:rFonts w:hint="eastAsia" w:ascii="宋体" w:hAnsi="宋体"/>
          <w:b w:val="0"/>
          <w:highlight w:val="none"/>
        </w:rPr>
        <w:br w:type="page"/>
      </w:r>
    </w:p>
    <w:p>
      <w:pPr>
        <w:jc w:val="center"/>
        <w:rPr>
          <w:rStyle w:val="27"/>
          <w:rFonts w:ascii="宋体" w:hAnsi="宋体"/>
          <w:b w:val="0"/>
          <w:highlight w:val="none"/>
        </w:rPr>
      </w:pPr>
      <w:r>
        <w:rPr>
          <w:rStyle w:val="27"/>
          <w:rFonts w:hint="eastAsia" w:ascii="宋体" w:hAnsi="宋体"/>
          <w:b w:val="0"/>
          <w:highlight w:val="none"/>
        </w:rPr>
        <w:t>一、</w:t>
      </w:r>
      <w:r>
        <w:rPr>
          <w:rStyle w:val="27"/>
          <w:rFonts w:hint="eastAsia" w:ascii="宋体" w:hAnsi="宋体"/>
          <w:b w:val="0"/>
          <w:highlight w:val="none"/>
          <w:lang w:val="en-US"/>
        </w:rPr>
        <w:t>响应</w:t>
      </w:r>
      <w:r>
        <w:rPr>
          <w:rStyle w:val="27"/>
          <w:rFonts w:ascii="宋体" w:hAnsi="宋体"/>
          <w:b w:val="0"/>
          <w:highlight w:val="none"/>
        </w:rPr>
        <w:t>函</w:t>
      </w:r>
    </w:p>
    <w:bookmarkEnd w:id="17"/>
    <w:bookmarkEnd w:id="18"/>
    <w:p>
      <w:pPr>
        <w:spacing w:line="560" w:lineRule="exact"/>
        <w:rPr>
          <w:rFonts w:hint="eastAsia" w:ascii="宋体" w:hAnsi="宋体" w:eastAsia="宋体" w:cs="宋体"/>
          <w:sz w:val="32"/>
          <w:szCs w:val="32"/>
          <w:highlight w:val="none"/>
        </w:rPr>
      </w:pPr>
      <w:r>
        <w:rPr>
          <w:rFonts w:hint="eastAsia" w:ascii="宋体" w:hAnsi="宋体" w:eastAsia="宋体" w:cs="宋体"/>
          <w:sz w:val="32"/>
          <w:szCs w:val="32"/>
          <w:highlight w:val="none"/>
        </w:rPr>
        <w:t>江苏长江地质勘查院：</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全称）授权（全权代表姓名、职务、职称）为全权代表，参加贵方组织的（招标编号、项目名称）的有关活动，为此：</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1.提供</w:t>
      </w: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须知规定的全部</w:t>
      </w:r>
      <w:r>
        <w:rPr>
          <w:rFonts w:hint="eastAsia" w:ascii="宋体" w:hAnsi="宋体" w:cs="宋体"/>
          <w:sz w:val="32"/>
          <w:szCs w:val="32"/>
          <w:highlight w:val="none"/>
          <w:lang w:val="en-US" w:eastAsia="zh-CN"/>
        </w:rPr>
        <w:t>响应</w:t>
      </w:r>
      <w:r>
        <w:rPr>
          <w:rFonts w:hint="eastAsia" w:ascii="宋体" w:hAnsi="宋体" w:eastAsia="宋体" w:cs="宋体"/>
          <w:sz w:val="32"/>
          <w:szCs w:val="32"/>
          <w:highlight w:val="none"/>
        </w:rPr>
        <w:t>文件（正本[ 1 ]份，副本[1]份、电子版[ 1 ]份）。</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2.提供按招标文件要求的货物/服务的报价。（详见 附件）。</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3.我方将按招标文件的规定履行全部责任和义务。</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4.我方已详细审查全部招标文件，我们完全理解并同意放弃对招标文件提出质疑及/或争议的权利。</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5.我方递交响应文件的有效期为自递交响应文件截止日起 90 个日历日。</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.我方愿意向贵方提供任何与该项响应文件有关的数据、情况和技术资料，完全理解贵方不一定接受最低价的响应文件或收到的任何响应文件。</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8</w:t>
      </w:r>
      <w:r>
        <w:rPr>
          <w:rFonts w:hint="eastAsia" w:ascii="宋体" w:hAnsi="宋体" w:eastAsia="宋体" w:cs="宋体"/>
          <w:sz w:val="32"/>
          <w:szCs w:val="32"/>
          <w:highlight w:val="none"/>
        </w:rPr>
        <w:t>.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rPr>
        <w:t>.我方在本次投标活动中绝无资质挂靠、串标、围标情形，若经贵方查出，立即取消我方响应资格并承担相应的法律责任。</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.我方未被地市级及以上行政主管部门做出取消响应资格的处罚且该处罚在有效期内的。</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11</w:t>
      </w:r>
      <w:r>
        <w:rPr>
          <w:rFonts w:hint="eastAsia" w:ascii="宋体" w:hAnsi="宋体" w:eastAsia="宋体" w:cs="宋体"/>
          <w:sz w:val="32"/>
          <w:szCs w:val="32"/>
          <w:highlight w:val="none"/>
        </w:rPr>
        <w:t>.我方在以往的招标采购活动中，无重大违法、违规的不良记录；</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12</w:t>
      </w:r>
      <w:r>
        <w:rPr>
          <w:rFonts w:hint="eastAsia" w:ascii="宋体" w:hAnsi="宋体" w:eastAsia="宋体" w:cs="宋体"/>
          <w:sz w:val="32"/>
          <w:szCs w:val="32"/>
          <w:highlight w:val="none"/>
        </w:rPr>
        <w:t>.与本响应文件有关的一切往来通讯请寄：</w:t>
      </w:r>
    </w:p>
    <w:p>
      <w:pPr>
        <w:spacing w:line="560" w:lineRule="exact"/>
        <w:ind w:firstLine="640" w:firstLineChars="200"/>
        <w:rPr>
          <w:rFonts w:hint="eastAsia" w:ascii="宋体" w:hAnsi="宋体" w:eastAsia="宋体" w:cs="宋体"/>
          <w:sz w:val="32"/>
          <w:szCs w:val="32"/>
          <w:highlight w:val="none"/>
        </w:rPr>
      </w:pP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地    址：               传    真：  </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电    话：               电子函件：</w:t>
      </w:r>
    </w:p>
    <w:p>
      <w:pPr>
        <w:spacing w:line="560" w:lineRule="exact"/>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名称（盖章）：</w:t>
      </w:r>
    </w:p>
    <w:p>
      <w:pPr>
        <w:spacing w:line="560" w:lineRule="exact"/>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授权代表（签字）：</w:t>
      </w:r>
    </w:p>
    <w:p>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日期：</w:t>
      </w:r>
    </w:p>
    <w:p>
      <w:pPr>
        <w:spacing w:line="560" w:lineRule="exact"/>
        <w:ind w:firstLine="640" w:firstLineChars="200"/>
        <w:rPr>
          <w:rFonts w:hint="eastAsia" w:ascii="宋体" w:hAnsi="宋体" w:eastAsia="宋体" w:cs="宋体"/>
          <w:sz w:val="32"/>
          <w:szCs w:val="32"/>
          <w:highlight w:val="none"/>
        </w:rPr>
      </w:pPr>
    </w:p>
    <w:p>
      <w:pPr>
        <w:pStyle w:val="8"/>
        <w:rPr>
          <w:rFonts w:hint="eastAsia"/>
          <w:highlight w:val="none"/>
        </w:rPr>
      </w:pPr>
    </w:p>
    <w:p>
      <w:pPr>
        <w:pStyle w:val="7"/>
        <w:spacing w:line="530" w:lineRule="exact"/>
        <w:rPr>
          <w:sz w:val="32"/>
          <w:szCs w:val="32"/>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rPr>
          <w:highlight w:val="none"/>
        </w:rPr>
      </w:pPr>
    </w:p>
    <w:p>
      <w:pPr>
        <w:jc w:val="center"/>
        <w:rPr>
          <w:rStyle w:val="27"/>
          <w:rFonts w:ascii="宋体" w:hAnsi="宋体" w:cstheme="minorBidi"/>
          <w:b w:val="0"/>
          <w:highlight w:val="none"/>
        </w:rPr>
      </w:pPr>
      <w:r>
        <w:rPr>
          <w:rStyle w:val="27"/>
          <w:rFonts w:hint="eastAsia" w:ascii="宋体" w:hAnsi="宋体" w:cstheme="minorBidi"/>
          <w:b w:val="0"/>
          <w:highlight w:val="none"/>
        </w:rPr>
        <w:t>二、报价表</w:t>
      </w:r>
    </w:p>
    <w:tbl>
      <w:tblPr>
        <w:tblStyle w:val="21"/>
        <w:tblpPr w:leftFromText="180" w:rightFromText="180" w:vertAnchor="text" w:horzAnchor="page" w:tblpX="2167" w:tblpY="133"/>
        <w:tblOverlap w:val="never"/>
        <w:tblW w:w="8153" w:type="dxa"/>
        <w:tblInd w:w="0" w:type="dxa"/>
        <w:tblLayout w:type="fixed"/>
        <w:tblCellMar>
          <w:top w:w="0" w:type="dxa"/>
          <w:left w:w="108" w:type="dxa"/>
          <w:bottom w:w="0" w:type="dxa"/>
          <w:right w:w="108" w:type="dxa"/>
        </w:tblCellMar>
      </w:tblPr>
      <w:tblGrid>
        <w:gridCol w:w="655"/>
        <w:gridCol w:w="987"/>
        <w:gridCol w:w="818"/>
        <w:gridCol w:w="1006"/>
        <w:gridCol w:w="959"/>
        <w:gridCol w:w="1118"/>
        <w:gridCol w:w="882"/>
        <w:gridCol w:w="869"/>
        <w:gridCol w:w="858"/>
        <w:gridCol w:w="1"/>
      </w:tblGrid>
      <w:tr>
        <w:tblPrEx>
          <w:tblLayout w:type="fixed"/>
          <w:tblCellMar>
            <w:top w:w="0" w:type="dxa"/>
            <w:left w:w="108" w:type="dxa"/>
            <w:bottom w:w="0" w:type="dxa"/>
            <w:right w:w="108" w:type="dxa"/>
          </w:tblCellMar>
        </w:tblPrEx>
        <w:trPr>
          <w:gridAfter w:val="1"/>
          <w:wAfter w:w="1" w:type="dxa"/>
          <w:trHeight w:val="460" w:hRule="atLeast"/>
        </w:trPr>
        <w:tc>
          <w:tcPr>
            <w:tcW w:w="81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36"/>
                <w:szCs w:val="36"/>
                <w:highlight w:val="none"/>
                <w:lang w:bidi="ar"/>
              </w:rPr>
            </w:pPr>
            <w:r>
              <w:rPr>
                <w:rFonts w:hint="eastAsia" w:ascii="宋体" w:hAnsi="宋体" w:cs="宋体"/>
                <w:color w:val="000000"/>
                <w:kern w:val="0"/>
                <w:sz w:val="36"/>
                <w:szCs w:val="36"/>
                <w:highlight w:val="none"/>
                <w:lang w:bidi="ar"/>
              </w:rPr>
              <w:t>报价单</w:t>
            </w:r>
          </w:p>
        </w:tc>
      </w:tr>
      <w:tr>
        <w:tblPrEx>
          <w:tblLayout w:type="fixed"/>
          <w:tblCellMar>
            <w:top w:w="0" w:type="dxa"/>
            <w:left w:w="108" w:type="dxa"/>
            <w:bottom w:w="0" w:type="dxa"/>
            <w:right w:w="108" w:type="dxa"/>
          </w:tblCellMar>
        </w:tblPrEx>
        <w:trPr>
          <w:gridAfter w:val="1"/>
          <w:wAfter w:w="1" w:type="dxa"/>
          <w:trHeight w:val="350" w:hRule="atLeast"/>
        </w:trPr>
        <w:tc>
          <w:tcPr>
            <w:tcW w:w="81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采购单位：江苏</w:t>
            </w:r>
            <w:r>
              <w:rPr>
                <w:rFonts w:hint="eastAsia" w:hAnsi="宋体" w:cs="宋体"/>
                <w:color w:val="000000"/>
                <w:kern w:val="0"/>
                <w:sz w:val="28"/>
                <w:szCs w:val="28"/>
                <w:highlight w:val="none"/>
                <w:lang w:bidi="ar"/>
              </w:rPr>
              <w:t xml:space="preserve">长江地质勘查院                               </w:t>
            </w: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品名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型号</w:t>
            </w:r>
          </w:p>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交货地</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品牌、产地、制造商全称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含税单价 （元/吨）</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税率</w:t>
            </w:r>
          </w:p>
          <w:p>
            <w:pPr>
              <w:widowControl/>
              <w:spacing w:line="400" w:lineRule="exact"/>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含税总价（元）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交货期</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技术参数</w:t>
            </w: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ascii="宋体" w:hAnsi="宋体" w:cs="宋体"/>
                <w:color w:val="000000"/>
                <w:kern w:val="0"/>
                <w:szCs w:val="21"/>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gridAfter w:val="1"/>
          <w:wAfter w:w="1" w:type="dxa"/>
          <w:trHeight w:val="2006" w:hRule="atLeast"/>
        </w:trPr>
        <w:tc>
          <w:tcPr>
            <w:tcW w:w="81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我司在此报价基础上接受优于采购文件的付款方式为：</w:t>
            </w:r>
          </w:p>
          <w:p>
            <w:pPr>
              <w:pStyle w:val="18"/>
              <w:ind w:left="0" w:leftChars="0"/>
              <w:rPr>
                <w:highlight w:val="none"/>
                <w:u w:val="single"/>
              </w:rPr>
            </w:pPr>
            <w:r>
              <w:rPr>
                <w:rFonts w:hint="eastAsia"/>
                <w:highlight w:val="none"/>
                <w:u w:val="single"/>
              </w:rPr>
              <w:t xml:space="preserve">                                                             </w:t>
            </w:r>
          </w:p>
          <w:p>
            <w:pPr>
              <w:rPr>
                <w:highlight w:val="none"/>
              </w:rPr>
            </w:pPr>
            <w:r>
              <w:rPr>
                <w:rFonts w:hint="eastAsia"/>
                <w:highlight w:val="none"/>
                <w:u w:val="single"/>
              </w:rPr>
              <w:t xml:space="preserve">                                                             </w:t>
            </w:r>
          </w:p>
          <w:p>
            <w:pPr>
              <w:widowControl/>
              <w:jc w:val="left"/>
              <w:textAlignment w:val="center"/>
              <w:rPr>
                <w:rFonts w:ascii="宋体" w:hAnsi="宋体" w:cs="宋体"/>
                <w:color w:val="000000"/>
                <w:kern w:val="0"/>
                <w:sz w:val="28"/>
                <w:szCs w:val="28"/>
                <w:highlight w:val="none"/>
                <w:lang w:bidi="ar"/>
              </w:rPr>
            </w:pPr>
          </w:p>
        </w:tc>
      </w:tr>
      <w:tr>
        <w:tblPrEx>
          <w:tblLayout w:type="fixed"/>
          <w:tblCellMar>
            <w:top w:w="0" w:type="dxa"/>
            <w:left w:w="108" w:type="dxa"/>
            <w:bottom w:w="0" w:type="dxa"/>
            <w:right w:w="108" w:type="dxa"/>
          </w:tblCellMar>
        </w:tblPrEx>
        <w:trPr>
          <w:trHeight w:val="882"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highlight w:val="none"/>
              </w:rPr>
            </w:pPr>
            <w:r>
              <w:rPr>
                <w:rFonts w:hint="eastAsia" w:ascii="宋体" w:hAnsi="宋体" w:cs="宋体"/>
                <w:color w:val="000000"/>
                <w:kern w:val="0"/>
                <w:sz w:val="28"/>
                <w:szCs w:val="28"/>
                <w:highlight w:val="none"/>
                <w:lang w:bidi="ar"/>
              </w:rPr>
              <w:t>备注</w:t>
            </w:r>
          </w:p>
        </w:tc>
        <w:tc>
          <w:tcPr>
            <w:tcW w:w="5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hd w:val="clear" w:color="auto" w:fill="FFFFFF"/>
              <w:spacing w:beforeAutospacing="0" w:afterAutospacing="0" w:line="560" w:lineRule="exact"/>
              <w:rPr>
                <w:rFonts w:ascii="宋体" w:hAnsi="宋体" w:cs="宋体"/>
                <w:color w:val="000000"/>
                <w:sz w:val="28"/>
                <w:szCs w:val="28"/>
                <w:highlight w:val="none"/>
                <w:lang w:bidi="ar"/>
              </w:rPr>
            </w:pPr>
            <w:r>
              <w:rPr>
                <w:rFonts w:hint="eastAsia"/>
                <w:highlight w:val="none"/>
              </w:rPr>
              <w:t>上述采购数量以</w:t>
            </w:r>
            <w:r>
              <w:rPr>
                <w:rFonts w:hint="eastAsia"/>
                <w:highlight w:val="none"/>
                <w:lang w:val="en-US" w:eastAsia="zh-CN"/>
              </w:rPr>
              <w:t>现场需求</w:t>
            </w:r>
            <w:r>
              <w:rPr>
                <w:rFonts w:hint="eastAsia"/>
                <w:highlight w:val="none"/>
              </w:rPr>
              <w:t>米数要求为准，据实结算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hd w:val="clear" w:color="auto" w:fill="FFFFFF"/>
              <w:spacing w:beforeAutospacing="0" w:afterAutospacing="0" w:line="560" w:lineRule="exact"/>
              <w:rPr>
                <w:rFonts w:hint="eastAsia"/>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hd w:val="clear" w:color="auto" w:fill="FFFFFF"/>
              <w:spacing w:beforeAutospacing="0" w:afterAutospacing="0" w:line="560" w:lineRule="exact"/>
              <w:rPr>
                <w:rFonts w:hint="eastAsia"/>
                <w:highlight w:val="none"/>
              </w:rPr>
            </w:pPr>
          </w:p>
        </w:tc>
      </w:tr>
    </w:tbl>
    <w:p>
      <w:pPr>
        <w:rPr>
          <w:highlight w:val="none"/>
        </w:rPr>
      </w:pPr>
    </w:p>
    <w:p>
      <w:pPr>
        <w:widowControl/>
        <w:jc w:val="left"/>
        <w:textAlignment w:val="center"/>
        <w:rPr>
          <w:highlight w:val="none"/>
        </w:rPr>
      </w:pPr>
    </w:p>
    <w:p>
      <w:pPr>
        <w:spacing w:line="360" w:lineRule="auto"/>
        <w:ind w:firstLine="480" w:firstLineChars="200"/>
        <w:rPr>
          <w:rFonts w:ascii="Cambria" w:hAnsi="Cambria"/>
          <w:sz w:val="24"/>
          <w:highlight w:val="none"/>
        </w:rPr>
      </w:pPr>
      <w:r>
        <w:rPr>
          <w:rFonts w:hint="eastAsia" w:ascii="Cambria" w:hAnsi="Cambria"/>
          <w:sz w:val="24"/>
          <w:highlight w:val="none"/>
        </w:rPr>
        <w:t>谈判响应人（盖章）：</w:t>
      </w:r>
    </w:p>
    <w:p>
      <w:pPr>
        <w:spacing w:line="360" w:lineRule="auto"/>
        <w:ind w:firstLine="480" w:firstLineChars="200"/>
        <w:rPr>
          <w:rFonts w:ascii="Cambria" w:hAnsi="Cambria"/>
          <w:sz w:val="24"/>
          <w:highlight w:val="none"/>
        </w:rPr>
      </w:pPr>
      <w:r>
        <w:rPr>
          <w:rFonts w:hint="eastAsia" w:ascii="Cambria" w:hAnsi="Cambria"/>
          <w:sz w:val="24"/>
          <w:highlight w:val="none"/>
        </w:rPr>
        <w:t>法定代表人或委托代理人</w:t>
      </w:r>
      <w:r>
        <w:rPr>
          <w:rFonts w:hint="eastAsia" w:hAnsi="Cambria"/>
          <w:sz w:val="24"/>
          <w:highlight w:val="none"/>
        </w:rPr>
        <w:t>（签字或盖章）</w:t>
      </w:r>
      <w:r>
        <w:rPr>
          <w:rFonts w:hint="eastAsia" w:ascii="Cambria" w:hAnsi="Cambria"/>
          <w:sz w:val="24"/>
          <w:highlight w:val="none"/>
        </w:rPr>
        <w:t>：</w:t>
      </w:r>
    </w:p>
    <w:p>
      <w:pPr>
        <w:spacing w:line="360" w:lineRule="auto"/>
        <w:ind w:firstLine="480" w:firstLineChars="200"/>
        <w:rPr>
          <w:rFonts w:ascii="Cambria" w:hAnsi="Cambria"/>
          <w:sz w:val="24"/>
          <w:highlight w:val="none"/>
        </w:rPr>
      </w:pPr>
      <w:r>
        <w:rPr>
          <w:rFonts w:hint="eastAsia" w:ascii="Cambria" w:hAnsi="Cambria"/>
          <w:sz w:val="24"/>
          <w:highlight w:val="none"/>
        </w:rPr>
        <w:t xml:space="preserve">  年      月     日</w:t>
      </w:r>
    </w:p>
    <w:p>
      <w:pPr>
        <w:rPr>
          <w:rFonts w:ascii="Cambria" w:hAnsi="Cambria"/>
          <w:sz w:val="24"/>
          <w:highlight w:val="none"/>
        </w:rPr>
      </w:pPr>
      <w:r>
        <w:rPr>
          <w:rFonts w:hint="eastAsia" w:ascii="Cambria" w:hAnsi="Cambria"/>
          <w:sz w:val="24"/>
          <w:highlight w:val="none"/>
        </w:rPr>
        <w:br w:type="page"/>
      </w:r>
    </w:p>
    <w:p>
      <w:pPr>
        <w:rPr>
          <w:rFonts w:ascii="Cambria" w:hAnsi="Cambria"/>
          <w:sz w:val="24"/>
          <w:highlight w:val="none"/>
        </w:rPr>
      </w:pPr>
    </w:p>
    <w:p>
      <w:pPr>
        <w:spacing w:line="360" w:lineRule="auto"/>
        <w:jc w:val="center"/>
        <w:rPr>
          <w:rStyle w:val="27"/>
          <w:rFonts w:ascii="宋体" w:hAnsi="宋体" w:cstheme="minorBidi"/>
          <w:b w:val="0"/>
          <w:highlight w:val="none"/>
        </w:rPr>
      </w:pPr>
      <w:bookmarkStart w:id="40" w:name="_Toc1604"/>
      <w:r>
        <w:rPr>
          <w:rStyle w:val="27"/>
          <w:rFonts w:hint="eastAsia" w:ascii="宋体" w:hAnsi="宋体" w:cstheme="minorBidi"/>
          <w:b w:val="0"/>
          <w:highlight w:val="none"/>
          <w:lang w:val="en-US"/>
        </w:rPr>
        <w:t>三</w:t>
      </w:r>
      <w:r>
        <w:rPr>
          <w:rStyle w:val="27"/>
          <w:rFonts w:hint="eastAsia" w:ascii="宋体" w:hAnsi="宋体" w:cstheme="minorBidi"/>
          <w:b w:val="0"/>
          <w:highlight w:val="none"/>
        </w:rPr>
        <w:t>、法定代表人身份证明</w:t>
      </w:r>
      <w:bookmarkEnd w:id="40"/>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谈判响应人名称：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（谈判响应人名称）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谈判响应人：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7"/>
          <w:rFonts w:ascii="宋体" w:hAnsi="宋体" w:cstheme="minorBidi"/>
          <w:b w:val="0"/>
          <w:highlight w:val="none"/>
        </w:rPr>
      </w:pPr>
      <w:r>
        <w:rPr>
          <w:rStyle w:val="27"/>
          <w:rFonts w:hint="eastAsia" w:ascii="宋体" w:hAnsi="宋体" w:cstheme="minorBidi"/>
          <w:b w:val="0"/>
          <w:highlight w:val="none"/>
          <w:lang w:val="en-US"/>
        </w:rPr>
        <w:t>四</w:t>
      </w:r>
      <w:r>
        <w:rPr>
          <w:rStyle w:val="27"/>
          <w:rFonts w:hint="eastAsia" w:ascii="宋体" w:hAnsi="宋体" w:cstheme="minorBidi"/>
          <w:b w:val="0"/>
          <w:highlight w:val="none"/>
        </w:rPr>
        <w:t>、法定代表人授权书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5.我公司同意：如果我公司竞争谈判文件没有按照上述要求进行密封，在开标现场出现内、外层信封（或箱子）均没有密封完好的情况，贵方可以视同我公司投标无效。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6.我公司承诺：在递交竞争性谈判文件截止时间之前将竞争性谈判文件送达下述指定地点：送至南京市栖霞区尧新大道5号前院515室。如未按时送达，视为我司自行放弃本项目投标。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rPr>
        <w:t>谈判响应人名称（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rPr>
        <w:t>、谈判响应人廉洁承诺书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权采取列入谈判响应人黑名单、终止合作、追究相关民事、行政和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方无条件同意解除、终止双方进行的任何商业活动(如，已中标，则中标无效；已签订合同的，终止执行，暂停结算合同未支付款项)，无条件赔偿贵方遭受的经济损失，并列入永久禁入贵方谈判响应人黑名单。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ascii="宋体" w:hAnsi="宋体" w:cs="宋体"/>
          <w:sz w:val="32"/>
          <w:szCs w:val="32"/>
          <w:highlight w:val="none"/>
        </w:rPr>
        <w:t>19</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29"/>
        <w:rPr>
          <w:rFonts w:cs="宋体"/>
          <w:sz w:val="32"/>
          <w:szCs w:val="32"/>
          <w:highlight w:val="none"/>
        </w:rPr>
      </w:pPr>
    </w:p>
    <w:p>
      <w:pPr>
        <w:pStyle w:val="29"/>
        <w:rPr>
          <w:rFonts w:cs="宋体"/>
          <w:sz w:val="32"/>
          <w:szCs w:val="32"/>
          <w:highlight w:val="none"/>
        </w:rPr>
      </w:pPr>
    </w:p>
    <w:p>
      <w:pPr>
        <w:pStyle w:val="29"/>
        <w:ind w:firstLine="3404" w:firstLineChars="1064"/>
        <w:jc w:val="right"/>
        <w:rPr>
          <w:rFonts w:cs="宋体"/>
          <w:sz w:val="32"/>
          <w:szCs w:val="32"/>
          <w:highlight w:val="none"/>
        </w:rPr>
      </w:pPr>
      <w:r>
        <w:rPr>
          <w:rFonts w:hint="eastAsia" w:cs="宋体"/>
          <w:sz w:val="32"/>
          <w:szCs w:val="32"/>
          <w:highlight w:val="none"/>
        </w:rPr>
        <w:t>单位负责人签字：</w:t>
      </w:r>
    </w:p>
    <w:p>
      <w:pPr>
        <w:pStyle w:val="29"/>
        <w:ind w:firstLine="6278" w:firstLineChars="1962"/>
        <w:jc w:val="right"/>
        <w:rPr>
          <w:rFonts w:cs="宋体"/>
          <w:sz w:val="32"/>
          <w:szCs w:val="32"/>
          <w:highlight w:val="none"/>
        </w:rPr>
      </w:pPr>
      <w:r>
        <w:rPr>
          <w:rFonts w:hint="eastAsia" w:cs="宋体"/>
          <w:sz w:val="32"/>
          <w:szCs w:val="32"/>
          <w:highlight w:val="none"/>
        </w:rPr>
        <w:t>公司盖章：</w:t>
      </w:r>
    </w:p>
    <w:p>
      <w:pPr>
        <w:pStyle w:val="29"/>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8"/>
        <w:spacing w:line="560" w:lineRule="exact"/>
        <w:jc w:val="center"/>
        <w:rPr>
          <w:rFonts w:hint="eastAsia" w:ascii="黑体" w:hAnsi="仿宋_GB2312" w:eastAsia="黑体"/>
          <w:bCs/>
          <w:color w:val="000000"/>
          <w:kern w:val="44"/>
          <w:sz w:val="32"/>
          <w:szCs w:val="32"/>
          <w:highlight w:val="none"/>
          <w:lang w:val="en-US" w:eastAsia="zh-CN"/>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w:t>
      </w:r>
      <w:r>
        <w:rPr>
          <w:rFonts w:hint="eastAsia" w:ascii="黑体" w:hAnsi="仿宋_GB2312" w:eastAsia="黑体"/>
          <w:bCs/>
          <w:color w:val="000000"/>
          <w:kern w:val="44"/>
          <w:sz w:val="32"/>
          <w:szCs w:val="32"/>
          <w:highlight w:val="none"/>
          <w:lang w:val="en-US" w:eastAsia="zh-CN"/>
        </w:rPr>
        <w:t>征信报告</w:t>
      </w:r>
    </w:p>
    <w:p>
      <w:pPr>
        <w:pStyle w:val="28"/>
        <w:spacing w:line="560" w:lineRule="exact"/>
        <w:jc w:val="center"/>
        <w:rPr>
          <w:rFonts w:hint="eastAsia" w:ascii="黑体" w:hAnsi="仿宋_GB2312" w:eastAsia="黑体"/>
          <w:bCs/>
          <w:color w:val="000000"/>
          <w:kern w:val="44"/>
          <w:sz w:val="32"/>
          <w:szCs w:val="32"/>
          <w:highlight w:val="none"/>
          <w:lang w:val="en-US" w:eastAsia="zh-CN"/>
        </w:rPr>
      </w:pPr>
      <w:r>
        <w:rPr>
          <w:rFonts w:hint="eastAsia" w:ascii="黑体" w:hAnsi="仿宋_GB2312" w:eastAsia="黑体"/>
          <w:bCs/>
          <w:color w:val="000000"/>
          <w:kern w:val="44"/>
          <w:sz w:val="32"/>
          <w:szCs w:val="32"/>
          <w:highlight w:val="none"/>
          <w:lang w:val="en-US" w:eastAsia="zh-CN"/>
        </w:rPr>
        <w:br w:type="page"/>
      </w:r>
    </w:p>
    <w:p>
      <w:pPr>
        <w:pStyle w:val="28"/>
        <w:spacing w:line="560" w:lineRule="exact"/>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bCs/>
          <w:color w:val="000000"/>
          <w:kern w:val="44"/>
          <w:sz w:val="32"/>
          <w:szCs w:val="32"/>
          <w:highlight w:val="none"/>
        </w:rPr>
        <w:t>业绩证明（附合同）</w:t>
      </w:r>
    </w:p>
    <w:p>
      <w:pPr>
        <w:pStyle w:val="28"/>
        <w:spacing w:line="560" w:lineRule="exact"/>
        <w:jc w:val="center"/>
        <w:rPr>
          <w:rFonts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ascii="黑体" w:hAnsi="仿宋_GB2312" w:eastAsia="黑体"/>
          <w:bCs/>
          <w:color w:val="000000"/>
          <w:kern w:val="44"/>
          <w:sz w:val="32"/>
          <w:szCs w:val="32"/>
          <w:highlight w:val="none"/>
        </w:rPr>
      </w:pPr>
    </w:p>
    <w:p>
      <w:pPr>
        <w:pStyle w:val="17"/>
        <w:rPr>
          <w:rFonts w:ascii="黑体" w:hAnsi="仿宋_GB2312" w:eastAsia="黑体"/>
          <w:bCs/>
          <w:color w:val="000000"/>
          <w:kern w:val="44"/>
          <w:sz w:val="32"/>
          <w:szCs w:val="32"/>
          <w:highlight w:val="none"/>
        </w:rPr>
      </w:pPr>
    </w:p>
    <w:p>
      <w:pPr>
        <w:rPr>
          <w:rFonts w:ascii="黑体" w:hAnsi="仿宋_GB2312" w:eastAsia="黑体"/>
          <w:bCs/>
          <w:color w:val="000000"/>
          <w:kern w:val="44"/>
          <w:sz w:val="32"/>
          <w:szCs w:val="32"/>
          <w:highlight w:val="none"/>
        </w:rPr>
      </w:pPr>
    </w:p>
    <w:p>
      <w:pPr>
        <w:pStyle w:val="17"/>
        <w:rPr>
          <w:rFonts w:ascii="黑体" w:hAnsi="仿宋_GB2312" w:eastAsia="黑体"/>
          <w:bCs/>
          <w:color w:val="000000"/>
          <w:kern w:val="44"/>
          <w:sz w:val="32"/>
          <w:szCs w:val="32"/>
          <w:highlight w:val="none"/>
        </w:rPr>
      </w:pPr>
    </w:p>
    <w:p>
      <w:pPr>
        <w:rPr>
          <w:rFonts w:ascii="黑体" w:hAnsi="仿宋_GB2312" w:eastAsia="黑体"/>
          <w:bCs/>
          <w:color w:val="000000"/>
          <w:kern w:val="44"/>
          <w:sz w:val="32"/>
          <w:szCs w:val="32"/>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p>
    <w:p>
      <w:pPr>
        <w:pStyle w:val="28"/>
        <w:spacing w:line="560" w:lineRule="exact"/>
        <w:jc w:val="center"/>
        <w:rPr>
          <w:rFonts w:hint="eastAsia" w:ascii="黑体" w:hAnsi="仿宋_GB2312" w:eastAsia="黑体" w:cs="Times New Roman"/>
          <w:bCs/>
          <w:color w:val="000000"/>
          <w:kern w:val="44"/>
          <w:sz w:val="32"/>
          <w:szCs w:val="32"/>
          <w:highlight w:val="none"/>
          <w:lang w:val="en-US" w:eastAsia="zh-CN"/>
        </w:rPr>
      </w:pPr>
      <w:r>
        <w:rPr>
          <w:rFonts w:hint="eastAsia" w:ascii="黑体" w:hAnsi="仿宋_GB2312" w:eastAsia="黑体" w:cs="Times New Roman"/>
          <w:bCs/>
          <w:color w:val="000000"/>
          <w:kern w:val="44"/>
          <w:sz w:val="32"/>
          <w:szCs w:val="32"/>
          <w:highlight w:val="none"/>
          <w:lang w:val="en-US" w:eastAsia="zh-CN"/>
        </w:rPr>
        <w:t>九：资格证明文件</w:t>
      </w:r>
    </w:p>
    <w:p>
      <w:pPr>
        <w:pStyle w:val="28"/>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8"/>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8"/>
        <w:spacing w:line="560" w:lineRule="exact"/>
        <w:rPr>
          <w:rFonts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pPr>
        <w:pStyle w:val="28"/>
        <w:spacing w:line="560" w:lineRule="exact"/>
        <w:ind w:firstLine="480" w:firstLineChars="200"/>
        <w:jc w:val="left"/>
        <w:rPr>
          <w:rFonts w:hint="eastAsia"/>
          <w:highlight w:val="none"/>
        </w:rPr>
      </w:pPr>
    </w:p>
    <w:p>
      <w:pPr>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0C0CD"/>
    <w:multiLevelType w:val="singleLevel"/>
    <w:tmpl w:val="E490C0CD"/>
    <w:lvl w:ilvl="0" w:tentative="0">
      <w:start w:val="2"/>
      <w:numFmt w:val="chineseCounting"/>
      <w:suff w:val="nothing"/>
      <w:lvlText w:val="%1、"/>
      <w:lvlJc w:val="left"/>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A2B41AB"/>
    <w:rsid w:val="00060B9E"/>
    <w:rsid w:val="00364C3A"/>
    <w:rsid w:val="00564BF8"/>
    <w:rsid w:val="00655221"/>
    <w:rsid w:val="00A4203D"/>
    <w:rsid w:val="00C968A7"/>
    <w:rsid w:val="00DD211D"/>
    <w:rsid w:val="00E224D0"/>
    <w:rsid w:val="00EB0C6B"/>
    <w:rsid w:val="00FB6A08"/>
    <w:rsid w:val="00FE3239"/>
    <w:rsid w:val="016F26AC"/>
    <w:rsid w:val="020C4532"/>
    <w:rsid w:val="02D23086"/>
    <w:rsid w:val="047C599F"/>
    <w:rsid w:val="05E6498A"/>
    <w:rsid w:val="07342561"/>
    <w:rsid w:val="085D24E6"/>
    <w:rsid w:val="090221EB"/>
    <w:rsid w:val="098B0620"/>
    <w:rsid w:val="09AB4631"/>
    <w:rsid w:val="0B3F79D6"/>
    <w:rsid w:val="0B472137"/>
    <w:rsid w:val="0B664CB3"/>
    <w:rsid w:val="0C3E79DE"/>
    <w:rsid w:val="0D221557"/>
    <w:rsid w:val="0D41054D"/>
    <w:rsid w:val="0D815DD4"/>
    <w:rsid w:val="0D865199"/>
    <w:rsid w:val="0DAB3876"/>
    <w:rsid w:val="0DC21F49"/>
    <w:rsid w:val="0FAB0611"/>
    <w:rsid w:val="105A2768"/>
    <w:rsid w:val="10AD127D"/>
    <w:rsid w:val="11005262"/>
    <w:rsid w:val="11365128"/>
    <w:rsid w:val="11CB6ABE"/>
    <w:rsid w:val="1232319F"/>
    <w:rsid w:val="14902DA1"/>
    <w:rsid w:val="14A01236"/>
    <w:rsid w:val="14EF5D19"/>
    <w:rsid w:val="155A7685"/>
    <w:rsid w:val="15A5287C"/>
    <w:rsid w:val="168230D4"/>
    <w:rsid w:val="168C3967"/>
    <w:rsid w:val="170B61C9"/>
    <w:rsid w:val="18E13BCB"/>
    <w:rsid w:val="18FE652B"/>
    <w:rsid w:val="19CE23A1"/>
    <w:rsid w:val="1ABC044C"/>
    <w:rsid w:val="1B040045"/>
    <w:rsid w:val="1B1F6C2C"/>
    <w:rsid w:val="1B3F2E2B"/>
    <w:rsid w:val="1B485BA7"/>
    <w:rsid w:val="1BE45A3C"/>
    <w:rsid w:val="1D465EF1"/>
    <w:rsid w:val="1DAD4007"/>
    <w:rsid w:val="1E9626F5"/>
    <w:rsid w:val="1F642E60"/>
    <w:rsid w:val="204A64FA"/>
    <w:rsid w:val="20547378"/>
    <w:rsid w:val="2100305C"/>
    <w:rsid w:val="21A41C3A"/>
    <w:rsid w:val="226D64CF"/>
    <w:rsid w:val="23571659"/>
    <w:rsid w:val="2377133A"/>
    <w:rsid w:val="247753E3"/>
    <w:rsid w:val="24A230CE"/>
    <w:rsid w:val="25987D07"/>
    <w:rsid w:val="25CC175F"/>
    <w:rsid w:val="262477ED"/>
    <w:rsid w:val="26977FBF"/>
    <w:rsid w:val="26EB157D"/>
    <w:rsid w:val="26FB054E"/>
    <w:rsid w:val="27135897"/>
    <w:rsid w:val="27F60D15"/>
    <w:rsid w:val="28F9286B"/>
    <w:rsid w:val="29F86FC6"/>
    <w:rsid w:val="2A1C5934"/>
    <w:rsid w:val="2A922F77"/>
    <w:rsid w:val="2ADB26B5"/>
    <w:rsid w:val="2AEB32D2"/>
    <w:rsid w:val="2C043A01"/>
    <w:rsid w:val="2C4E79A5"/>
    <w:rsid w:val="2DC12B39"/>
    <w:rsid w:val="2FCD4A51"/>
    <w:rsid w:val="2FCF2577"/>
    <w:rsid w:val="301B57BD"/>
    <w:rsid w:val="303B5E5F"/>
    <w:rsid w:val="30656A38"/>
    <w:rsid w:val="30AF2473"/>
    <w:rsid w:val="30EA3184"/>
    <w:rsid w:val="30F93DC8"/>
    <w:rsid w:val="319D6E3C"/>
    <w:rsid w:val="32221084"/>
    <w:rsid w:val="330D7BF3"/>
    <w:rsid w:val="33B41F1D"/>
    <w:rsid w:val="33C20973"/>
    <w:rsid w:val="34D665A6"/>
    <w:rsid w:val="35376740"/>
    <w:rsid w:val="357716E7"/>
    <w:rsid w:val="367E51B7"/>
    <w:rsid w:val="37164F30"/>
    <w:rsid w:val="379C3687"/>
    <w:rsid w:val="37E45315"/>
    <w:rsid w:val="3A2B41AB"/>
    <w:rsid w:val="3A414072"/>
    <w:rsid w:val="3AE8267C"/>
    <w:rsid w:val="3B164BF1"/>
    <w:rsid w:val="3DE55D84"/>
    <w:rsid w:val="3F446ADE"/>
    <w:rsid w:val="3F655B8B"/>
    <w:rsid w:val="403C0BC6"/>
    <w:rsid w:val="421D0583"/>
    <w:rsid w:val="423A703E"/>
    <w:rsid w:val="42AD499A"/>
    <w:rsid w:val="454113CA"/>
    <w:rsid w:val="46357180"/>
    <w:rsid w:val="46C56205"/>
    <w:rsid w:val="47B5612D"/>
    <w:rsid w:val="480C7D3E"/>
    <w:rsid w:val="4B0610EB"/>
    <w:rsid w:val="4D0D12B8"/>
    <w:rsid w:val="4D4057F3"/>
    <w:rsid w:val="4D8B2E35"/>
    <w:rsid w:val="4E3B72FE"/>
    <w:rsid w:val="4ECB24F8"/>
    <w:rsid w:val="4F4331C8"/>
    <w:rsid w:val="503C6221"/>
    <w:rsid w:val="503C735D"/>
    <w:rsid w:val="50636741"/>
    <w:rsid w:val="511E72C2"/>
    <w:rsid w:val="51B51D9B"/>
    <w:rsid w:val="52383B54"/>
    <w:rsid w:val="525F2A86"/>
    <w:rsid w:val="52F31BE5"/>
    <w:rsid w:val="5302488E"/>
    <w:rsid w:val="54A0435F"/>
    <w:rsid w:val="54AD082A"/>
    <w:rsid w:val="56010E2D"/>
    <w:rsid w:val="569A6B8C"/>
    <w:rsid w:val="56C26B22"/>
    <w:rsid w:val="57320DF1"/>
    <w:rsid w:val="57E427B4"/>
    <w:rsid w:val="585A4BA4"/>
    <w:rsid w:val="598C4EB2"/>
    <w:rsid w:val="5A493AAE"/>
    <w:rsid w:val="5AEA0A90"/>
    <w:rsid w:val="5B5E287E"/>
    <w:rsid w:val="5BA10673"/>
    <w:rsid w:val="5BC30933"/>
    <w:rsid w:val="5D0C00B7"/>
    <w:rsid w:val="5DB96B1E"/>
    <w:rsid w:val="5F0202B7"/>
    <w:rsid w:val="5F4D248C"/>
    <w:rsid w:val="60C779FD"/>
    <w:rsid w:val="61AB5AC1"/>
    <w:rsid w:val="61D218D0"/>
    <w:rsid w:val="62724E61"/>
    <w:rsid w:val="63044341"/>
    <w:rsid w:val="63D95197"/>
    <w:rsid w:val="64686F03"/>
    <w:rsid w:val="64A77044"/>
    <w:rsid w:val="64AA08E2"/>
    <w:rsid w:val="656C403D"/>
    <w:rsid w:val="6954706E"/>
    <w:rsid w:val="69DF102E"/>
    <w:rsid w:val="6B030D4C"/>
    <w:rsid w:val="6B5F50DC"/>
    <w:rsid w:val="6B6C069F"/>
    <w:rsid w:val="6BC6086E"/>
    <w:rsid w:val="6C147306"/>
    <w:rsid w:val="6E5D0773"/>
    <w:rsid w:val="6F63625D"/>
    <w:rsid w:val="707324D0"/>
    <w:rsid w:val="71F74756"/>
    <w:rsid w:val="737427E7"/>
    <w:rsid w:val="73905147"/>
    <w:rsid w:val="73F8030D"/>
    <w:rsid w:val="74520C5C"/>
    <w:rsid w:val="74DD616A"/>
    <w:rsid w:val="74EA0870"/>
    <w:rsid w:val="76937428"/>
    <w:rsid w:val="769B2EDE"/>
    <w:rsid w:val="77764653"/>
    <w:rsid w:val="77CF1843"/>
    <w:rsid w:val="79220866"/>
    <w:rsid w:val="7A5573A6"/>
    <w:rsid w:val="7B3A48B6"/>
    <w:rsid w:val="7C4829F8"/>
    <w:rsid w:val="7CB24FCC"/>
    <w:rsid w:val="7D9812EF"/>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character" w:default="1" w:styleId="20">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Body Text First Indent"/>
    <w:basedOn w:val="7"/>
    <w:qFormat/>
    <w:uiPriority w:val="0"/>
    <w:pPr>
      <w:ind w:firstLine="420"/>
    </w:pPr>
    <w:rPr>
      <w:sz w:val="32"/>
    </w:rPr>
  </w:style>
  <w:style w:type="paragraph" w:styleId="7">
    <w:name w:val="Body Text"/>
    <w:basedOn w:val="1"/>
    <w:next w:val="8"/>
    <w:qFormat/>
    <w:uiPriority w:val="0"/>
    <w:pPr>
      <w:spacing w:after="120"/>
    </w:pPr>
  </w:style>
  <w:style w:type="paragraph" w:styleId="8">
    <w:name w:val="Body Text 2"/>
    <w:basedOn w:val="1"/>
    <w:qFormat/>
    <w:uiPriority w:val="0"/>
    <w:rPr>
      <w:color w:val="FF000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spacing w:after="120"/>
      <w:ind w:left="420" w:leftChars="200"/>
    </w:pPr>
    <w:rPr>
      <w:sz w:val="16"/>
      <w:szCs w:val="16"/>
    </w:rPr>
  </w:style>
  <w:style w:type="paragraph" w:styleId="17">
    <w:name w:val="table of figures"/>
    <w:basedOn w:val="1"/>
    <w:next w:val="1"/>
    <w:qFormat/>
    <w:uiPriority w:val="0"/>
    <w:pPr>
      <w:ind w:left="420" w:hanging="420"/>
      <w:jc w:val="left"/>
    </w:pPr>
    <w:rPr>
      <w:smallCaps/>
      <w:sz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paragraph" w:customStyle="1" w:styleId="22">
    <w:name w:val="Table Heading"/>
    <w:basedOn w:val="23"/>
    <w:qFormat/>
    <w:uiPriority w:val="0"/>
    <w:pPr>
      <w:autoSpaceDE/>
      <w:autoSpaceDN/>
      <w:spacing w:line="288" w:lineRule="auto"/>
      <w:jc w:val="center"/>
    </w:pPr>
    <w:rPr>
      <w:rFonts w:ascii="宋体" w:hAnsi="宋体"/>
      <w:b/>
    </w:rPr>
  </w:style>
  <w:style w:type="paragraph" w:customStyle="1" w:styleId="23">
    <w:name w:val="Table Text"/>
    <w:basedOn w:val="1"/>
    <w:qFormat/>
    <w:uiPriority w:val="0"/>
    <w:pPr>
      <w:widowControl/>
      <w:autoSpaceDE w:val="0"/>
      <w:autoSpaceDN w:val="0"/>
      <w:spacing w:before="60" w:after="60"/>
      <w:jc w:val="left"/>
    </w:pPr>
    <w:rPr>
      <w:kern w:val="0"/>
    </w:rPr>
  </w:style>
  <w:style w:type="paragraph" w:customStyle="1" w:styleId="24">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5">
    <w:name w:val="样式1"/>
    <w:basedOn w:val="1"/>
    <w:qFormat/>
    <w:uiPriority w:val="0"/>
    <w:pPr>
      <w:textAlignment w:val="baseline"/>
    </w:pPr>
    <w:rPr>
      <w:rFonts w:ascii="宋体" w:hAnsi="宋体"/>
      <w:szCs w:val="21"/>
    </w:rPr>
  </w:style>
  <w:style w:type="paragraph" w:customStyle="1" w:styleId="26">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7">
    <w:name w:val="标题 2 Char Char Char"/>
    <w:qFormat/>
    <w:uiPriority w:val="0"/>
    <w:rPr>
      <w:rFonts w:ascii="Arial" w:hAnsi="Arial" w:eastAsia="黑体"/>
      <w:b/>
      <w:bCs/>
      <w:kern w:val="2"/>
      <w:sz w:val="32"/>
      <w:szCs w:val="3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样式 仿宋_GB2312 四号 行距: 1.5 倍行距"/>
    <w:basedOn w:val="1"/>
    <w:qFormat/>
    <w:uiPriority w:val="0"/>
    <w:pPr>
      <w:spacing w:line="360" w:lineRule="auto"/>
      <w:ind w:firstLine="560"/>
    </w:pPr>
    <w:rPr>
      <w:rFonts w:ascii="宋体" w:hAnsi="宋体"/>
      <w:color w:val="000000"/>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font31"/>
    <w:basedOn w:val="20"/>
    <w:qFormat/>
    <w:uiPriority w:val="0"/>
    <w:rPr>
      <w:rFonts w:hint="eastAsia" w:ascii="宋体" w:hAnsi="宋体" w:eastAsia="宋体" w:cs="宋体"/>
      <w:color w:val="000000"/>
      <w:sz w:val="24"/>
      <w:szCs w:val="24"/>
      <w:u w:val="none"/>
    </w:rPr>
  </w:style>
  <w:style w:type="character" w:customStyle="1" w:styleId="32">
    <w:name w:val="font21"/>
    <w:basedOn w:val="20"/>
    <w:qFormat/>
    <w:uiPriority w:val="0"/>
    <w:rPr>
      <w:rFonts w:hint="default" w:ascii="Times New Roman" w:hAnsi="Times New Roman" w:cs="Times New Roman"/>
      <w:color w:val="000000"/>
      <w:sz w:val="24"/>
      <w:szCs w:val="24"/>
      <w:u w:val="none"/>
    </w:rPr>
  </w:style>
  <w:style w:type="character" w:customStyle="1" w:styleId="33">
    <w:name w:val="font01"/>
    <w:basedOn w:val="20"/>
    <w:qFormat/>
    <w:uiPriority w:val="0"/>
    <w:rPr>
      <w:rFonts w:hint="eastAsia" w:ascii="宋体" w:hAnsi="宋体" w:eastAsia="宋体" w:cs="宋体"/>
      <w:color w:val="000000"/>
      <w:sz w:val="24"/>
      <w:szCs w:val="24"/>
      <w:u w:val="none"/>
    </w:rPr>
  </w:style>
  <w:style w:type="character" w:customStyle="1" w:styleId="34">
    <w:name w:val="页眉 Char"/>
    <w:basedOn w:val="20"/>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6937</Words>
  <Characters>7254</Characters>
  <Lines>65</Lines>
  <Paragraphs>18</Paragraphs>
  <TotalTime>3</TotalTime>
  <ScaleCrop>false</ScaleCrop>
  <LinksUpToDate>false</LinksUpToDate>
  <CharactersWithSpaces>8357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2024-09-03T08:54:00Z</dcterms:created>
  <dc:creator>乔辰生</dc:creator>
  <cp:lastModifiedBy>梦里花落U知多少</cp:lastModifiedBy>
  <dcterms:modified xsi:type="dcterms:W3CDTF">2024-12-12T07:58:27Z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2E0FF9EB04264E369E20FEC6FFEED8FA_13</vt:lpwstr>
  </property>
</Properties>
</file>