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val="0"/>
        <w:spacing w:before="0" w:after="0" w:line="360" w:lineRule="auto"/>
        <w:rPr>
          <w:kern w:val="2"/>
          <w:highlight w:val="none"/>
        </w:rPr>
      </w:pPr>
      <w:bookmarkStart w:id="0" w:name="_Toc67627991"/>
      <w:r>
        <w:rPr>
          <w:rFonts w:hint="eastAsia"/>
          <w:kern w:val="2"/>
          <w:highlight w:val="none"/>
        </w:rPr>
        <w:t xml:space="preserve"> </w:t>
      </w:r>
    </w:p>
    <w:p>
      <w:pPr>
        <w:spacing w:line="360" w:lineRule="auto"/>
        <w:jc w:val="center"/>
        <w:rPr>
          <w:rFonts w:ascii="宋体" w:hAnsi="宋体"/>
          <w:b/>
          <w:highlight w:val="none"/>
        </w:rPr>
      </w:pPr>
    </w:p>
    <w:p>
      <w:pPr>
        <w:pStyle w:val="22"/>
        <w:widowControl w:val="0"/>
        <w:spacing w:before="0" w:after="0" w:line="360" w:lineRule="auto"/>
        <w:rPr>
          <w:rFonts w:hint="eastAsia"/>
          <w:kern w:val="2"/>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金坛2×350MW盐穴压缩空气储能发电项目地下工程2口井钻井施工</w:t>
      </w:r>
    </w:p>
    <w:p>
      <w:pPr>
        <w:spacing w:line="360" w:lineRule="auto"/>
        <w:jc w:val="center"/>
        <w:rPr>
          <w:rFonts w:hint="eastAsia"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井场工程</w:t>
      </w: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spacing w:line="360" w:lineRule="auto"/>
        <w:jc w:val="center"/>
        <w:rPr>
          <w:rFonts w:ascii="黑体" w:hAnsi="宋体" w:eastAsia="黑体"/>
          <w:b/>
          <w:sz w:val="56"/>
          <w:szCs w:val="56"/>
          <w:highlight w:val="none"/>
        </w:rPr>
      </w:pPr>
      <w:r>
        <w:rPr>
          <w:rFonts w:hint="eastAsia" w:ascii="黑体" w:hAnsi="宋体" w:eastAsia="黑体"/>
          <w:b/>
          <w:sz w:val="56"/>
          <w:szCs w:val="56"/>
          <w:highlight w:val="none"/>
        </w:rPr>
        <w:t>竞争谈判文件</w:t>
      </w:r>
    </w:p>
    <w:p>
      <w:pPr>
        <w:spacing w:line="360" w:lineRule="auto"/>
        <w:rPr>
          <w:rFonts w:hint="eastAsia" w:ascii="宋体" w:hAnsi="宋体" w:eastAsia="仿宋_GB2312"/>
          <w:b/>
          <w:sz w:val="44"/>
          <w:szCs w:val="44"/>
          <w:highlight w:val="none"/>
        </w:rPr>
      </w:pPr>
      <w:r>
        <w:rPr>
          <w:rFonts w:hint="eastAsia" w:ascii="黑体" w:hAnsi="宋体" w:eastAsia="黑体"/>
          <w:b/>
          <w:sz w:val="96"/>
          <w:highlight w:val="none"/>
        </w:rPr>
        <w:t xml:space="preserve"> </w:t>
      </w:r>
      <w:r>
        <w:rPr>
          <w:rFonts w:hint="eastAsia" w:ascii="宋体" w:hAnsi="宋体"/>
          <w:b/>
          <w:sz w:val="44"/>
          <w:szCs w:val="44"/>
          <w:highlight w:val="none"/>
        </w:rPr>
        <w:t xml:space="preserve">     采购编号：ZMCJ03CG20240199</w:t>
      </w: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2"/>
        <w:ind w:left="0" w:leftChars="0" w:firstLine="0" w:firstLineChars="0"/>
        <w:rPr>
          <w:highlight w:val="none"/>
        </w:rPr>
      </w:pPr>
    </w:p>
    <w:p>
      <w:pPr>
        <w:pStyle w:val="3"/>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十二</w:t>
      </w:r>
      <w:r>
        <w:rPr>
          <w:rFonts w:hint="eastAsia" w:ascii="黑体" w:hAnsi="黑体" w:eastAsia="黑体" w:cs="黑体"/>
          <w:b/>
          <w:sz w:val="32"/>
          <w:highlight w:val="none"/>
        </w:rPr>
        <w:t>月</w:t>
      </w:r>
    </w:p>
    <w:p>
      <w:pPr>
        <w:pStyle w:val="24"/>
        <w:jc w:val="center"/>
        <w:rPr>
          <w:rFonts w:ascii="宋体" w:hAnsi="宋体" w:eastAsia="宋体"/>
          <w:b/>
          <w:color w:val="auto"/>
          <w:kern w:val="2"/>
          <w:sz w:val="44"/>
          <w:szCs w:val="20"/>
          <w:highlight w:val="none"/>
        </w:rPr>
        <w:sectPr>
          <w:footerReference r:id="rId3" w:type="default"/>
          <w:pgSz w:w="11900" w:h="16840"/>
          <w:pgMar w:top="1570" w:right="1338" w:bottom="1616" w:left="1684" w:header="1481" w:footer="1531" w:gutter="0"/>
          <w:pgNumType w:fmt="decimal" w:start="1"/>
          <w:cols w:space="720" w:num="1"/>
          <w:docGrid w:linePitch="360" w:charSpace="0"/>
        </w:sectPr>
      </w:pPr>
    </w:p>
    <w:bookmarkEnd w:id="0"/>
    <w:p>
      <w:pPr>
        <w:spacing w:line="660" w:lineRule="exact"/>
        <w:jc w:val="center"/>
        <w:rPr>
          <w:rFonts w:hint="eastAsia" w:ascii="方正小标宋简体" w:hAnsi="宋体" w:eastAsia="方正小标宋简体" w:cs="Times New Roman"/>
          <w:color w:val="auto"/>
          <w:sz w:val="44"/>
          <w:szCs w:val="44"/>
          <w:highlight w:val="none"/>
          <w:lang w:val="en-US" w:eastAsia="zh-CN"/>
        </w:rPr>
      </w:pPr>
      <w:bookmarkStart w:id="1" w:name="_Toc20708"/>
      <w:r>
        <w:rPr>
          <w:rFonts w:hint="eastAsia" w:ascii="方正小标宋简体" w:hAnsi="宋体" w:eastAsia="方正小标宋简体"/>
          <w:color w:val="auto"/>
          <w:sz w:val="44"/>
          <w:szCs w:val="44"/>
          <w:highlight w:val="none"/>
        </w:rPr>
        <w:t>第一章</w:t>
      </w:r>
      <w:bookmarkStart w:id="2" w:name="_Toc24572"/>
      <w:bookmarkStart w:id="3" w:name="_Toc8924"/>
      <w:r>
        <w:rPr>
          <w:rFonts w:hint="eastAsia" w:ascii="方正小标宋简体" w:hAnsi="宋体" w:eastAsia="方正小标宋简体"/>
          <w:color w:val="auto"/>
          <w:sz w:val="44"/>
          <w:szCs w:val="44"/>
          <w:highlight w:val="none"/>
          <w:lang w:val="en-US" w:eastAsia="zh-CN"/>
        </w:rPr>
        <w:t xml:space="preserve"> </w:t>
      </w:r>
      <w:r>
        <w:rPr>
          <w:rFonts w:hint="eastAsia" w:ascii="方正小标宋简体" w:hAnsi="宋体" w:eastAsia="方正小标宋简体" w:cs="Times New Roman"/>
          <w:color w:val="auto"/>
          <w:sz w:val="44"/>
          <w:szCs w:val="44"/>
          <w:highlight w:val="none"/>
          <w:lang w:val="en-US" w:eastAsia="zh-CN"/>
        </w:rPr>
        <w:t>金坛2×350MW盐穴压缩空气储能发电项目地下工程2口井钻井施工</w:t>
      </w:r>
    </w:p>
    <w:p>
      <w:pPr>
        <w:spacing w:line="660" w:lineRule="exact"/>
        <w:jc w:val="center"/>
        <w:rPr>
          <w:rFonts w:ascii="方正小标宋简体" w:hAnsi="仿宋_GB2312" w:eastAsia="方正小标宋简体"/>
          <w:b w:val="0"/>
          <w:bCs/>
          <w:color w:val="000000"/>
          <w:szCs w:val="44"/>
          <w:highlight w:val="none"/>
        </w:rPr>
      </w:pPr>
      <w:r>
        <w:rPr>
          <w:rFonts w:hint="eastAsia" w:ascii="方正小标宋简体" w:hAnsi="宋体" w:eastAsia="方正小标宋简体" w:cs="Times New Roman"/>
          <w:color w:val="auto"/>
          <w:sz w:val="44"/>
          <w:szCs w:val="44"/>
          <w:highlight w:val="none"/>
          <w:lang w:val="en-US" w:eastAsia="zh-CN"/>
        </w:rPr>
        <w:t>井场工程</w:t>
      </w:r>
      <w:r>
        <w:rPr>
          <w:rFonts w:hint="eastAsia" w:ascii="方正小标宋简体" w:hAnsi="宋体" w:eastAsia="方正小标宋简体"/>
          <w:color w:val="auto"/>
          <w:sz w:val="44"/>
          <w:szCs w:val="44"/>
          <w:highlight w:val="none"/>
          <w:lang w:val="en-US" w:eastAsia="zh-CN"/>
        </w:rPr>
        <w:t>竞争谈判公告</w:t>
      </w:r>
      <w:bookmarkEnd w:id="1"/>
      <w:bookmarkEnd w:id="2"/>
      <w:bookmarkEnd w:id="3"/>
    </w:p>
    <w:p>
      <w:pPr>
        <w:rPr>
          <w:highlight w:val="none"/>
        </w:rPr>
      </w:pPr>
    </w:p>
    <w:p>
      <w:pPr>
        <w:spacing w:line="560" w:lineRule="exact"/>
        <w:ind w:firstLine="640" w:firstLineChars="200"/>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金坛2×350MW盐穴压缩空气储能发电项目地下工程2口井钻井施工井场工程采购已具备采购条件，采购人为江苏长江地质勘查院，现对</w:t>
      </w:r>
      <w:r>
        <w:rPr>
          <w:rFonts w:hint="eastAsia" w:ascii="仿宋_GB2312" w:hAnsi="宋体" w:eastAsia="仿宋_GB2312" w:cs="Times New Roman"/>
          <w:color w:val="auto"/>
          <w:kern w:val="2"/>
          <w:sz w:val="32"/>
          <w:szCs w:val="32"/>
          <w:highlight w:val="none"/>
          <w:lang w:val="en-US" w:eastAsia="zh-CN" w:bidi="ar-SA"/>
        </w:rPr>
        <w:t>该项目</w:t>
      </w:r>
      <w:r>
        <w:rPr>
          <w:rFonts w:hint="eastAsia" w:ascii="仿宋_GB2312" w:hAnsi="宋体" w:eastAsia="仿宋_GB2312" w:cs="Times New Roman"/>
          <w:snapToGrid w:val="0"/>
          <w:kern w:val="2"/>
          <w:sz w:val="32"/>
          <w:szCs w:val="32"/>
          <w:highlight w:val="none"/>
          <w:lang w:val="en-US" w:eastAsia="zh-CN" w:bidi="ar-SA"/>
        </w:rPr>
        <w:t>采取竞争谈判方式采购，就有关事项说明如下：</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一、采购概况</w:t>
      </w:r>
    </w:p>
    <w:p>
      <w:pPr>
        <w:spacing w:line="660" w:lineRule="exact"/>
        <w:ind w:firstLine="640" w:firstLineChars="200"/>
        <w:jc w:val="left"/>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1.项目名称：</w:t>
      </w:r>
      <w:r>
        <w:rPr>
          <w:rFonts w:hint="eastAsia" w:ascii="仿宋_GB2312" w:hAnsi="宋体" w:eastAsia="仿宋_GB2312"/>
          <w:snapToGrid w:val="0"/>
          <w:sz w:val="32"/>
          <w:szCs w:val="32"/>
          <w:highlight w:val="none"/>
          <w:lang w:val="en-US" w:eastAsia="zh-CN"/>
        </w:rPr>
        <w:t>金坛2×350MW盐穴压缩空气储能发电项目地下工程2口井钻井施工井场工程</w:t>
      </w:r>
      <w:r>
        <w:rPr>
          <w:rFonts w:hint="eastAsia" w:ascii="仿宋_GB2312" w:hAnsi="宋体" w:eastAsia="仿宋_GB2312"/>
          <w:snapToGrid w:val="0"/>
          <w:kern w:val="2"/>
          <w:sz w:val="32"/>
          <w:szCs w:val="32"/>
          <w:highlight w:val="none"/>
          <w:lang w:eastAsia="zh-CN"/>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2.项目地点：江苏省常州市金坛区</w:t>
      </w:r>
      <w:r>
        <w:rPr>
          <w:rFonts w:hint="eastAsia" w:ascii="仿宋_GB2312" w:hAnsi="宋体" w:eastAsia="仿宋_GB2312"/>
          <w:snapToGrid w:val="0"/>
          <w:kern w:val="2"/>
          <w:sz w:val="32"/>
          <w:szCs w:val="32"/>
          <w:highlight w:val="none"/>
          <w:lang w:val="en-US" w:eastAsia="zh-CN"/>
        </w:rPr>
        <w:t>直溪镇</w:t>
      </w:r>
      <w:r>
        <w:rPr>
          <w:rFonts w:hint="eastAsia" w:ascii="仿宋_GB2312" w:hAnsi="宋体" w:eastAsia="仿宋_GB2312"/>
          <w:snapToGrid w:val="0"/>
          <w:kern w:val="2"/>
          <w:sz w:val="32"/>
          <w:szCs w:val="32"/>
          <w:highlight w:val="none"/>
          <w:lang w:eastAsia="zh-CN"/>
        </w:rPr>
        <w:t>。</w:t>
      </w:r>
    </w:p>
    <w:p>
      <w:pPr>
        <w:pStyle w:val="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3.服务期限：从合同签订之日起至井场项目竣工验收合格</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4.质量要求：符合国家标准及甲方要求</w:t>
      </w:r>
      <w:r>
        <w:rPr>
          <w:rFonts w:hint="eastAsia" w:ascii="仿宋_GB2312" w:hAnsi="宋体" w:eastAsia="仿宋_GB2312"/>
          <w:snapToGrid w:val="0"/>
          <w:kern w:val="2"/>
          <w:sz w:val="32"/>
          <w:szCs w:val="32"/>
          <w:highlight w:val="none"/>
          <w:lang w:eastAsia="zh-CN"/>
        </w:rPr>
        <w:t>。</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5.工程规模：2口井新井场，投标人可自行前往现场进行踏勘测算，最终据实结算</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6.采购控制价：353万元。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snapToGrid w:val="0"/>
          <w:sz w:val="32"/>
          <w:szCs w:val="32"/>
          <w:highlight w:val="none"/>
          <w:lang w:val="en-US" w:eastAsia="zh-CN"/>
        </w:rPr>
        <w:t>7</w:t>
      </w:r>
      <w:r>
        <w:rPr>
          <w:rFonts w:hint="eastAsia" w:ascii="仿宋_GB2312" w:hAnsi="宋体" w:eastAsia="仿宋_GB2312"/>
          <w:snapToGrid w:val="0"/>
          <w:sz w:val="32"/>
          <w:szCs w:val="32"/>
          <w:highlight w:val="none"/>
        </w:rPr>
        <w:t>.</w:t>
      </w:r>
      <w:r>
        <w:rPr>
          <w:rFonts w:hint="eastAsia" w:ascii="仿宋_GB2312" w:hAnsi="宋体" w:eastAsia="仿宋_GB2312"/>
          <w:snapToGrid w:val="0"/>
          <w:sz w:val="32"/>
          <w:szCs w:val="32"/>
          <w:highlight w:val="none"/>
          <w:lang w:val="en-US" w:eastAsia="zh-CN"/>
        </w:rPr>
        <w:t>采购</w:t>
      </w:r>
      <w:r>
        <w:rPr>
          <w:rFonts w:hint="eastAsia" w:ascii="仿宋_GB2312" w:hAnsi="宋体" w:eastAsia="仿宋_GB2312"/>
          <w:snapToGrid w:val="0"/>
          <w:sz w:val="32"/>
          <w:szCs w:val="32"/>
          <w:highlight w:val="none"/>
        </w:rPr>
        <w:t>编号：ZMCJ03CG20240199</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.中标通知方式：书面通知中标人。</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评标办法为综合评分法</w:t>
      </w:r>
      <w:r>
        <w:rPr>
          <w:rFonts w:hint="eastAsia" w:ascii="仿宋_GB2312" w:hAnsi="宋体" w:eastAsia="仿宋_GB2312"/>
          <w:snapToGrid w:val="0"/>
          <w:kern w:val="2"/>
          <w:sz w:val="32"/>
          <w:szCs w:val="32"/>
          <w:highlight w:val="none"/>
          <w:lang w:eastAsia="zh-CN"/>
        </w:rPr>
        <w:t>。</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.其他要求详见谈判文件。</w:t>
      </w:r>
    </w:p>
    <w:p>
      <w:pPr>
        <w:pStyle w:val="19"/>
        <w:widowControl/>
        <w:shd w:val="clear" w:color="auto" w:fill="FFFFFF"/>
        <w:spacing w:beforeAutospacing="0" w:afterAutospacing="0" w:line="560" w:lineRule="exact"/>
        <w:ind w:firstLine="640" w:firstLineChars="200"/>
        <w:rPr>
          <w:rFonts w:ascii="黑体" w:hAnsi="黑体" w:eastAsia="黑体"/>
          <w:kern w:val="2"/>
          <w:sz w:val="32"/>
          <w:szCs w:val="32"/>
          <w:highlight w:val="none"/>
        </w:rPr>
      </w:pPr>
      <w:r>
        <w:rPr>
          <w:rFonts w:hint="eastAsia" w:ascii="黑体" w:hAnsi="黑体" w:eastAsia="黑体"/>
          <w:kern w:val="2"/>
          <w:sz w:val="32"/>
          <w:szCs w:val="32"/>
          <w:highlight w:val="none"/>
        </w:rPr>
        <w:t>二、合格谈判</w:t>
      </w:r>
      <w:r>
        <w:rPr>
          <w:rFonts w:hint="eastAsia" w:ascii="黑体" w:hAnsi="黑体" w:eastAsia="黑体"/>
          <w:kern w:val="2"/>
          <w:sz w:val="32"/>
          <w:szCs w:val="32"/>
          <w:highlight w:val="none"/>
          <w:lang w:eastAsia="zh-CN"/>
        </w:rPr>
        <w:t>谈判响应人</w:t>
      </w:r>
      <w:r>
        <w:rPr>
          <w:rFonts w:hint="eastAsia" w:ascii="黑体" w:hAnsi="黑体" w:eastAsia="黑体"/>
          <w:kern w:val="2"/>
          <w:sz w:val="32"/>
          <w:szCs w:val="32"/>
          <w:highlight w:val="none"/>
        </w:rPr>
        <w:t>的基本资质要求</w:t>
      </w:r>
    </w:p>
    <w:p>
      <w:pPr>
        <w:pStyle w:val="8"/>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1.营业范围要求:谈判</w:t>
      </w:r>
      <w:r>
        <w:rPr>
          <w:rFonts w:hint="eastAsia" w:ascii="仿宋_GB2312" w:hAnsi="宋体" w:eastAsia="仿宋_GB2312"/>
          <w:snapToGrid w:val="0"/>
          <w:kern w:val="2"/>
          <w:sz w:val="32"/>
          <w:szCs w:val="32"/>
          <w:highlight w:val="none"/>
          <w:lang w:eastAsia="zh-CN"/>
        </w:rPr>
        <w:t>谈判响应人</w:t>
      </w:r>
      <w:r>
        <w:rPr>
          <w:rFonts w:hint="eastAsia" w:ascii="仿宋_GB2312" w:hAnsi="宋体" w:eastAsia="仿宋_GB2312"/>
          <w:snapToGrid w:val="0"/>
          <w:kern w:val="2"/>
          <w:sz w:val="32"/>
          <w:szCs w:val="32"/>
          <w:highlight w:val="none"/>
        </w:rPr>
        <w:t>应</w:t>
      </w:r>
      <w:r>
        <w:rPr>
          <w:rFonts w:hint="default" w:ascii="仿宋_GB2312" w:hAnsi="宋体" w:eastAsia="仿宋_GB2312" w:cs="Times New Roman"/>
          <w:snapToGrid w:val="0"/>
          <w:kern w:val="2"/>
          <w:sz w:val="32"/>
          <w:szCs w:val="32"/>
          <w:highlight w:val="none"/>
          <w:lang w:val="en-US" w:eastAsia="zh-CN" w:bidi="ar-SA"/>
        </w:rPr>
        <w:t>具有独立法人营业执照</w:t>
      </w:r>
      <w:r>
        <w:rPr>
          <w:rFonts w:hint="eastAsia" w:ascii="仿宋_GB2312" w:hAnsi="宋体" w:eastAsia="仿宋_GB2312" w:cs="Times New Roman"/>
          <w:snapToGrid w:val="0"/>
          <w:kern w:val="2"/>
          <w:sz w:val="32"/>
          <w:szCs w:val="32"/>
          <w:highlight w:val="none"/>
          <w:lang w:val="en-US" w:eastAsia="zh-CN" w:bidi="ar-SA"/>
        </w:rPr>
        <w:t>、安全生产许可证</w:t>
      </w:r>
      <w:r>
        <w:rPr>
          <w:rFonts w:hint="default" w:ascii="仿宋_GB2312" w:hAnsi="宋体" w:eastAsia="仿宋_GB2312" w:cs="Times New Roman"/>
          <w:snapToGrid w:val="0"/>
          <w:kern w:val="2"/>
          <w:sz w:val="32"/>
          <w:szCs w:val="32"/>
          <w:highlight w:val="none"/>
          <w:lang w:val="en-US" w:eastAsia="zh-CN" w:bidi="ar-SA"/>
        </w:rPr>
        <w:t>等证明文件</w:t>
      </w:r>
      <w:r>
        <w:rPr>
          <w:rFonts w:hint="eastAsia" w:ascii="仿宋_GB2312" w:hAnsi="宋体" w:eastAsia="仿宋_GB2312" w:cs="Times New Roman"/>
          <w:snapToGrid w:val="0"/>
          <w:kern w:val="2"/>
          <w:sz w:val="32"/>
          <w:szCs w:val="32"/>
          <w:highlight w:val="none"/>
          <w:lang w:val="en-US" w:eastAsia="zh-CN" w:bidi="ar-SA"/>
        </w:rPr>
        <w:t>，市政工程施工总承包三级及以上</w:t>
      </w:r>
      <w:r>
        <w:rPr>
          <w:rFonts w:hint="eastAsia" w:ascii="仿宋_GB2312" w:hAnsi="宋体" w:eastAsia="仿宋_GB2312"/>
          <w:snapToGrid w:val="0"/>
          <w:kern w:val="2"/>
          <w:sz w:val="32"/>
          <w:szCs w:val="32"/>
          <w:highlight w:val="none"/>
        </w:rPr>
        <w:t>。</w:t>
      </w:r>
    </w:p>
    <w:p>
      <w:pPr>
        <w:pStyle w:val="8"/>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napToGrid w:val="0"/>
          <w:kern w:val="2"/>
          <w:sz w:val="32"/>
          <w:szCs w:val="32"/>
          <w:highlight w:val="none"/>
        </w:rPr>
      </w:pPr>
      <w:r>
        <w:rPr>
          <w:rFonts w:hint="eastAsia" w:ascii="仿宋_GB2312" w:hAnsi="宋体" w:eastAsia="仿宋_GB2312" w:cs="Times New Roman"/>
          <w:snapToGrid w:val="0"/>
          <w:kern w:val="2"/>
          <w:sz w:val="32"/>
          <w:szCs w:val="32"/>
          <w:highlight w:val="none"/>
          <w:lang w:val="en-US" w:eastAsia="zh-CN" w:bidi="ar-SA"/>
        </w:rPr>
        <w:t>2.</w:t>
      </w:r>
      <w:r>
        <w:rPr>
          <w:rFonts w:hint="eastAsia" w:ascii="仿宋_GB2312" w:hAnsi="宋体" w:eastAsia="仿宋_GB2312"/>
          <w:snapToGrid w:val="0"/>
          <w:kern w:val="2"/>
          <w:sz w:val="32"/>
          <w:szCs w:val="32"/>
          <w:highlight w:val="none"/>
        </w:rPr>
        <w:t>谈判</w:t>
      </w:r>
      <w:r>
        <w:rPr>
          <w:rFonts w:hint="eastAsia" w:ascii="仿宋_GB2312" w:hAnsi="宋体" w:eastAsia="仿宋_GB2312"/>
          <w:snapToGrid w:val="0"/>
          <w:kern w:val="2"/>
          <w:sz w:val="32"/>
          <w:szCs w:val="32"/>
          <w:highlight w:val="none"/>
          <w:lang w:eastAsia="zh-CN"/>
        </w:rPr>
        <w:t>谈判响应人</w:t>
      </w:r>
      <w:r>
        <w:rPr>
          <w:rFonts w:hint="default" w:ascii="仿宋_GB2312" w:hAnsi="宋体" w:eastAsia="仿宋_GB2312" w:cs="Times New Roman"/>
          <w:snapToGrid w:val="0"/>
          <w:kern w:val="2"/>
          <w:sz w:val="32"/>
          <w:szCs w:val="32"/>
          <w:highlight w:val="none"/>
          <w:lang w:val="en-US" w:eastAsia="zh-CN" w:bidi="ar-SA"/>
        </w:rPr>
        <w:t>拟派的项目负责人具有</w:t>
      </w:r>
      <w:r>
        <w:rPr>
          <w:rFonts w:hint="eastAsia" w:ascii="仿宋_GB2312" w:hAnsi="宋体" w:eastAsia="仿宋_GB2312" w:cs="Times New Roman"/>
          <w:snapToGrid w:val="0"/>
          <w:kern w:val="2"/>
          <w:sz w:val="32"/>
          <w:szCs w:val="32"/>
          <w:highlight w:val="none"/>
          <w:lang w:val="en-US" w:eastAsia="zh-CN" w:bidi="ar-SA"/>
        </w:rPr>
        <w:t>注册建造师</w:t>
      </w:r>
      <w:r>
        <w:rPr>
          <w:rFonts w:hint="default" w:ascii="仿宋_GB2312" w:hAnsi="宋体" w:eastAsia="仿宋_GB2312" w:cs="Times New Roman"/>
          <w:snapToGrid w:val="0"/>
          <w:kern w:val="2"/>
          <w:sz w:val="32"/>
          <w:szCs w:val="32"/>
          <w:highlight w:val="none"/>
          <w:lang w:val="en-US" w:eastAsia="zh-CN" w:bidi="ar-SA"/>
        </w:rPr>
        <w:t>市政二级及以上</w:t>
      </w:r>
      <w:r>
        <w:rPr>
          <w:rFonts w:hint="eastAsia" w:ascii="仿宋_GB2312" w:hAnsi="宋体" w:eastAsia="仿宋_GB2312" w:cs="Times New Roman"/>
          <w:snapToGrid w:val="0"/>
          <w:kern w:val="2"/>
          <w:sz w:val="32"/>
          <w:szCs w:val="32"/>
          <w:highlight w:val="none"/>
          <w:lang w:val="en-US" w:eastAsia="zh-CN" w:bidi="ar-SA"/>
        </w:rPr>
        <w:t>，建设行政主管部门核发的安全生产考核合格证（B证）。</w:t>
      </w:r>
    </w:p>
    <w:p>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.财务要求：谈判</w:t>
      </w:r>
      <w:r>
        <w:rPr>
          <w:rFonts w:hint="eastAsia" w:ascii="仿宋_GB2312" w:hAnsi="宋体" w:eastAsia="仿宋_GB2312"/>
          <w:snapToGrid w:val="0"/>
          <w:kern w:val="2"/>
          <w:sz w:val="32"/>
          <w:szCs w:val="32"/>
          <w:highlight w:val="none"/>
          <w:lang w:eastAsia="zh-CN"/>
        </w:rPr>
        <w:t>谈判响应人</w:t>
      </w:r>
      <w:r>
        <w:rPr>
          <w:rFonts w:hint="eastAsia" w:ascii="仿宋_GB2312" w:hAnsi="宋体" w:eastAsia="仿宋_GB2312"/>
          <w:snapToGrid w:val="0"/>
          <w:kern w:val="2"/>
          <w:sz w:val="32"/>
          <w:szCs w:val="32"/>
          <w:highlight w:val="none"/>
        </w:rPr>
        <w:t>有依法纳税的良好记录，财务、资信状况良好，满足履行本项目的需要。</w:t>
      </w:r>
    </w:p>
    <w:p>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4.</w:t>
      </w:r>
      <w:r>
        <w:rPr>
          <w:rFonts w:hint="eastAsia" w:ascii="仿宋_GB2312" w:hAnsi="宋体" w:eastAsia="仿宋_GB2312"/>
          <w:snapToGrid w:val="0"/>
          <w:kern w:val="2"/>
          <w:sz w:val="32"/>
          <w:szCs w:val="32"/>
          <w:highlight w:val="none"/>
          <w:lang w:eastAsia="zh-CN"/>
        </w:rPr>
        <w:t>谈判响应人</w:t>
      </w:r>
      <w:r>
        <w:rPr>
          <w:rFonts w:hint="eastAsia" w:ascii="仿宋_GB2312" w:hAnsi="宋体" w:eastAsia="仿宋_GB2312"/>
          <w:snapToGrid w:val="0"/>
          <w:kern w:val="2"/>
          <w:sz w:val="32"/>
          <w:szCs w:val="32"/>
          <w:highlight w:val="none"/>
          <w:lang w:val="en-US" w:eastAsia="zh-CN"/>
        </w:rPr>
        <w:t>需提供钻井井场工程的施工业绩。</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.信誉要求：谈判</w:t>
      </w:r>
      <w:r>
        <w:rPr>
          <w:rFonts w:hint="eastAsia" w:ascii="仿宋_GB2312" w:hAnsi="宋体" w:eastAsia="仿宋_GB2312"/>
          <w:snapToGrid w:val="0"/>
          <w:kern w:val="2"/>
          <w:sz w:val="32"/>
          <w:szCs w:val="32"/>
          <w:highlight w:val="none"/>
          <w:lang w:eastAsia="zh-CN"/>
        </w:rPr>
        <w:t>谈判响应人</w:t>
      </w:r>
      <w:r>
        <w:rPr>
          <w:rFonts w:hint="eastAsia" w:ascii="仿宋_GB2312" w:hAnsi="宋体" w:eastAsia="仿宋_GB2312"/>
          <w:snapToGrid w:val="0"/>
          <w:kern w:val="2"/>
          <w:sz w:val="32"/>
          <w:szCs w:val="32"/>
          <w:highlight w:val="none"/>
        </w:rPr>
        <w:t>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.谈判</w:t>
      </w:r>
      <w:r>
        <w:rPr>
          <w:rFonts w:hint="eastAsia" w:ascii="仿宋_GB2312" w:hAnsi="宋体" w:eastAsia="仿宋_GB2312"/>
          <w:snapToGrid w:val="0"/>
          <w:kern w:val="2"/>
          <w:sz w:val="32"/>
          <w:szCs w:val="32"/>
          <w:highlight w:val="none"/>
          <w:lang w:eastAsia="zh-CN"/>
        </w:rPr>
        <w:t>谈判响应人</w:t>
      </w:r>
      <w:r>
        <w:rPr>
          <w:rFonts w:hint="eastAsia" w:ascii="仿宋_GB2312" w:hAnsi="宋体" w:eastAsia="仿宋_GB2312"/>
          <w:snapToGrid w:val="0"/>
          <w:kern w:val="2"/>
          <w:sz w:val="32"/>
          <w:szCs w:val="32"/>
          <w:highlight w:val="none"/>
        </w:rPr>
        <w:t>不得与采购方存在利益关系，包括但不限于采购方领导和关键岗位人员持有谈判</w:t>
      </w:r>
      <w:r>
        <w:rPr>
          <w:rFonts w:hint="eastAsia" w:ascii="仿宋_GB2312" w:hAnsi="宋体" w:eastAsia="仿宋_GB2312"/>
          <w:snapToGrid w:val="0"/>
          <w:kern w:val="2"/>
          <w:sz w:val="32"/>
          <w:szCs w:val="32"/>
          <w:highlight w:val="none"/>
          <w:lang w:eastAsia="zh-CN"/>
        </w:rPr>
        <w:t>谈判响应人</w:t>
      </w:r>
      <w:r>
        <w:rPr>
          <w:rFonts w:hint="eastAsia" w:ascii="仿宋_GB2312" w:hAnsi="宋体" w:eastAsia="仿宋_GB2312"/>
          <w:snapToGrid w:val="0"/>
          <w:kern w:val="2"/>
          <w:sz w:val="32"/>
          <w:szCs w:val="32"/>
          <w:highlight w:val="none"/>
        </w:rPr>
        <w:t>股权、在谈判</w:t>
      </w:r>
      <w:r>
        <w:rPr>
          <w:rFonts w:hint="eastAsia" w:ascii="仿宋_GB2312" w:hAnsi="宋体" w:eastAsia="仿宋_GB2312"/>
          <w:snapToGrid w:val="0"/>
          <w:kern w:val="2"/>
          <w:sz w:val="32"/>
          <w:szCs w:val="32"/>
          <w:highlight w:val="none"/>
          <w:lang w:eastAsia="zh-CN"/>
        </w:rPr>
        <w:t>谈判响应人</w:t>
      </w:r>
      <w:r>
        <w:rPr>
          <w:rFonts w:hint="eastAsia" w:ascii="仿宋_GB2312" w:hAnsi="宋体" w:eastAsia="仿宋_GB2312"/>
          <w:snapToGrid w:val="0"/>
          <w:kern w:val="2"/>
          <w:sz w:val="32"/>
          <w:szCs w:val="32"/>
          <w:highlight w:val="none"/>
        </w:rPr>
        <w:t>中任职、存在亲属关系等。</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.具有投资参股关系的关联企业，或具有直接管理或被管理关系的母子公司， 或同一母公司的子公司，或法定代表人为同一人的两个及两个以上法人不得同时参与投标。</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.本次采购不接受联合体投标。</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竞争谈判公告、竞争谈判文件及有关补遗和答疑文件相关事项在</w:t>
      </w:r>
      <w:r>
        <w:rPr>
          <w:rFonts w:hint="eastAsia" w:ascii="仿宋_GB2312" w:hAnsi="宋体" w:eastAsia="仿宋_GB2312"/>
          <w:snapToGrid w:val="0"/>
          <w:kern w:val="2"/>
          <w:sz w:val="32"/>
          <w:szCs w:val="32"/>
          <w:highlight w:val="none"/>
          <w:lang w:val="en-US" w:eastAsia="zh-CN"/>
        </w:rPr>
        <w:t>江苏长江地质勘查院网站</w:t>
      </w:r>
      <w:r>
        <w:rPr>
          <w:rFonts w:hint="eastAsia" w:ascii="仿宋_GB2312" w:hAnsi="宋体" w:eastAsia="仿宋_GB2312"/>
          <w:snapToGrid w:val="0"/>
          <w:kern w:val="2"/>
          <w:sz w:val="32"/>
          <w:szCs w:val="32"/>
          <w:highlight w:val="none"/>
        </w:rPr>
        <w:t>发布。</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w:t>
      </w:r>
      <w:r>
        <w:rPr>
          <w:rFonts w:hint="eastAsia" w:ascii="仿宋_GB2312" w:hAnsi="仿宋_GB2312" w:eastAsia="仿宋_GB2312" w:cs="仿宋_GB2312"/>
          <w:sz w:val="32"/>
          <w:szCs w:val="32"/>
          <w:highlight w:val="none"/>
          <w:lang w:val="en-US" w:eastAsia="zh-CN"/>
        </w:rPr>
        <w:t>谈判响应人自行在官网下载采购文件</w:t>
      </w:r>
      <w:r>
        <w:rPr>
          <w:rFonts w:hint="eastAsia" w:ascii="仿宋_GB2312" w:hAnsi="宋体" w:eastAsia="仿宋_GB2312"/>
          <w:snapToGrid w:val="0"/>
          <w:kern w:val="2"/>
          <w:sz w:val="32"/>
          <w:szCs w:val="32"/>
          <w:highlight w:val="none"/>
        </w:rPr>
        <w:t>，请于2024年</w:t>
      </w:r>
      <w:r>
        <w:rPr>
          <w:rFonts w:hint="eastAsia" w:ascii="仿宋_GB2312" w:hAnsi="宋体" w:eastAsia="仿宋_GB2312"/>
          <w:snapToGrid w:val="0"/>
          <w:kern w:val="2"/>
          <w:sz w:val="32"/>
          <w:szCs w:val="32"/>
          <w:highlight w:val="none"/>
          <w:lang w:val="en-US" w:eastAsia="zh-CN"/>
        </w:rPr>
        <w:t>12</w:t>
      </w:r>
      <w:r>
        <w:rPr>
          <w:rFonts w:hint="eastAsia" w:ascii="仿宋_GB2312" w:hAnsi="宋体" w:eastAsia="仿宋_GB2312"/>
          <w:snapToGrid w:val="0"/>
          <w:kern w:val="2"/>
          <w:sz w:val="32"/>
          <w:szCs w:val="32"/>
          <w:highlight w:val="none"/>
        </w:rPr>
        <w:t>月</w:t>
      </w:r>
      <w:r>
        <w:rPr>
          <w:rFonts w:hint="eastAsia" w:ascii="仿宋_GB2312" w:hAnsi="宋体" w:eastAsia="仿宋_GB2312"/>
          <w:snapToGrid w:val="0"/>
          <w:kern w:val="2"/>
          <w:sz w:val="32"/>
          <w:szCs w:val="32"/>
          <w:highlight w:val="none"/>
          <w:lang w:val="en-US" w:eastAsia="zh-CN"/>
        </w:rPr>
        <w:t>16</w:t>
      </w:r>
      <w:r>
        <w:rPr>
          <w:rFonts w:hint="eastAsia" w:ascii="仿宋_GB2312" w:hAnsi="宋体" w:eastAsia="仿宋_GB2312"/>
          <w:snapToGrid w:val="0"/>
          <w:kern w:val="2"/>
          <w:sz w:val="32"/>
          <w:szCs w:val="32"/>
          <w:highlight w:val="none"/>
        </w:rPr>
        <w:t>日至2024年</w:t>
      </w:r>
      <w:r>
        <w:rPr>
          <w:rFonts w:hint="eastAsia" w:ascii="仿宋_GB2312" w:hAnsi="宋体" w:eastAsia="仿宋_GB2312"/>
          <w:snapToGrid w:val="0"/>
          <w:kern w:val="2"/>
          <w:sz w:val="32"/>
          <w:szCs w:val="32"/>
          <w:highlight w:val="none"/>
          <w:lang w:val="en-US" w:eastAsia="zh-CN"/>
        </w:rPr>
        <w:t>12</w:t>
      </w:r>
      <w:r>
        <w:rPr>
          <w:rFonts w:hint="eastAsia" w:ascii="仿宋_GB2312" w:hAnsi="宋体" w:eastAsia="仿宋_GB2312"/>
          <w:snapToGrid w:val="0"/>
          <w:kern w:val="2"/>
          <w:sz w:val="32"/>
          <w:szCs w:val="32"/>
          <w:highlight w:val="none"/>
        </w:rPr>
        <w:t>月</w:t>
      </w:r>
      <w:r>
        <w:rPr>
          <w:rFonts w:hint="eastAsia" w:ascii="仿宋_GB2312" w:hAnsi="宋体" w:eastAsia="仿宋_GB2312"/>
          <w:snapToGrid w:val="0"/>
          <w:kern w:val="2"/>
          <w:sz w:val="32"/>
          <w:szCs w:val="32"/>
          <w:highlight w:val="none"/>
          <w:lang w:val="en-US" w:eastAsia="zh-CN"/>
        </w:rPr>
        <w:t>22</w:t>
      </w:r>
      <w:r>
        <w:rPr>
          <w:rFonts w:hint="eastAsia" w:ascii="仿宋_GB2312" w:hAnsi="宋体" w:eastAsia="仿宋_GB2312"/>
          <w:snapToGrid w:val="0"/>
          <w:kern w:val="2"/>
          <w:sz w:val="32"/>
          <w:szCs w:val="32"/>
          <w:highlight w:val="none"/>
        </w:rPr>
        <w:t>日1</w:t>
      </w:r>
      <w:r>
        <w:rPr>
          <w:rFonts w:hint="eastAsia" w:ascii="仿宋_GB2312" w:hAnsi="宋体" w:eastAsia="仿宋_GB2312"/>
          <w:snapToGrid w:val="0"/>
          <w:kern w:val="2"/>
          <w:sz w:val="32"/>
          <w:szCs w:val="32"/>
          <w:highlight w:val="none"/>
          <w:lang w:val="en-US" w:eastAsia="zh-CN"/>
        </w:rPr>
        <w:t>0</w:t>
      </w:r>
      <w:r>
        <w:rPr>
          <w:rFonts w:hint="eastAsia" w:ascii="仿宋_GB2312" w:hAnsi="宋体" w:eastAsia="仿宋_GB2312"/>
          <w:snapToGrid w:val="0"/>
          <w:kern w:val="2"/>
          <w:sz w:val="32"/>
          <w:szCs w:val="32"/>
          <w:highlight w:val="none"/>
        </w:rPr>
        <w:t>：00，将投标材料邮寄或者人工送达的方式，送至送至南京市栖霞区尧新大道5号前院515室。</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2.开标：2024年</w:t>
      </w:r>
      <w:r>
        <w:rPr>
          <w:rFonts w:hint="eastAsia" w:ascii="仿宋_GB2312" w:hAnsi="宋体" w:eastAsia="仿宋_GB2312"/>
          <w:snapToGrid w:val="0"/>
          <w:kern w:val="2"/>
          <w:sz w:val="32"/>
          <w:szCs w:val="32"/>
          <w:highlight w:val="none"/>
          <w:lang w:val="en-US" w:eastAsia="zh-CN"/>
        </w:rPr>
        <w:t>12</w:t>
      </w:r>
      <w:r>
        <w:rPr>
          <w:rFonts w:hint="eastAsia" w:ascii="仿宋_GB2312" w:hAnsi="宋体" w:eastAsia="仿宋_GB2312"/>
          <w:snapToGrid w:val="0"/>
          <w:kern w:val="2"/>
          <w:sz w:val="32"/>
          <w:szCs w:val="32"/>
          <w:highlight w:val="none"/>
        </w:rPr>
        <w:t>月</w:t>
      </w:r>
      <w:r>
        <w:rPr>
          <w:rFonts w:hint="eastAsia" w:ascii="仿宋_GB2312" w:hAnsi="宋体" w:eastAsia="仿宋_GB2312"/>
          <w:snapToGrid w:val="0"/>
          <w:kern w:val="2"/>
          <w:sz w:val="32"/>
          <w:szCs w:val="32"/>
          <w:highlight w:val="none"/>
          <w:lang w:val="en-US" w:eastAsia="zh-CN"/>
        </w:rPr>
        <w:t>23</w:t>
      </w:r>
      <w:r>
        <w:rPr>
          <w:rFonts w:hint="eastAsia" w:ascii="仿宋_GB2312" w:hAnsi="宋体" w:eastAsia="仿宋_GB2312"/>
          <w:snapToGrid w:val="0"/>
          <w:kern w:val="2"/>
          <w:sz w:val="32"/>
          <w:szCs w:val="32"/>
          <w:highlight w:val="none"/>
        </w:rPr>
        <w:t>日1</w:t>
      </w:r>
      <w:r>
        <w:rPr>
          <w:rFonts w:hint="eastAsia" w:ascii="仿宋_GB2312" w:hAnsi="宋体" w:eastAsia="仿宋_GB2312"/>
          <w:snapToGrid w:val="0"/>
          <w:kern w:val="2"/>
          <w:sz w:val="32"/>
          <w:szCs w:val="32"/>
          <w:highlight w:val="none"/>
          <w:lang w:val="en-US" w:eastAsia="zh-CN"/>
        </w:rPr>
        <w:t>0</w:t>
      </w:r>
      <w:r>
        <w:rPr>
          <w:rFonts w:hint="eastAsia" w:ascii="仿宋_GB2312" w:hAnsi="宋体" w:eastAsia="仿宋_GB2312"/>
          <w:snapToGrid w:val="0"/>
          <w:kern w:val="2"/>
          <w:sz w:val="32"/>
          <w:szCs w:val="32"/>
          <w:highlight w:val="none"/>
        </w:rPr>
        <w:t>:00时(北京时间)在中煤长江地质集团5楼会议室开标会议室开标。</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上述安排如有变化，采购人将视情况在公司官网发布通知。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采购方：江苏长江地质勘查院</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地址：南京市栖霞区尧新大道5号</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联系人：刘晓梅</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rPr>
        <w:t>电话：052-85666601</w:t>
      </w:r>
    </w:p>
    <w:p>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项目联系人：</w:t>
      </w:r>
      <w:r>
        <w:rPr>
          <w:rFonts w:hint="eastAsia" w:ascii="仿宋_GB2312" w:hAnsi="宋体" w:eastAsia="仿宋_GB2312"/>
          <w:snapToGrid w:val="0"/>
          <w:kern w:val="2"/>
          <w:sz w:val="32"/>
          <w:szCs w:val="32"/>
          <w:highlight w:val="none"/>
          <w:lang w:val="en-US" w:eastAsia="zh-CN"/>
        </w:rPr>
        <w:t>宋延超，</w:t>
      </w:r>
      <w:r>
        <w:rPr>
          <w:rFonts w:hint="eastAsia" w:ascii="仿宋_GB2312" w:hAnsi="宋体" w:eastAsia="仿宋_GB2312"/>
          <w:snapToGrid w:val="0"/>
          <w:kern w:val="2"/>
          <w:sz w:val="32"/>
          <w:szCs w:val="32"/>
          <w:highlight w:val="none"/>
        </w:rPr>
        <w:t>电话</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18694968858</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纪律检查部</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电话：025-85666522</w:t>
      </w:r>
    </w:p>
    <w:p>
      <w:pPr>
        <w:pStyle w:val="5"/>
        <w:spacing w:before="0" w:after="0" w:line="660" w:lineRule="exact"/>
        <w:jc w:val="center"/>
        <w:rPr>
          <w:rFonts w:ascii="方正小标宋简体" w:hAnsi="仿宋_GB2312" w:eastAsia="方正小标宋简体"/>
          <w:b w:val="0"/>
          <w:bCs/>
          <w:color w:val="000000"/>
          <w:szCs w:val="44"/>
          <w:highlight w:val="none"/>
        </w:rPr>
      </w:pPr>
      <w:bookmarkStart w:id="4" w:name="_Toc97794043"/>
      <w:bookmarkStart w:id="5" w:name="_Toc11379"/>
      <w:bookmarkStart w:id="6" w:name="_Toc30393"/>
      <w:r>
        <w:rPr>
          <w:rFonts w:hint="eastAsia" w:ascii="方正小标宋简体" w:hAnsi="仿宋_GB2312" w:eastAsia="方正小标宋简体"/>
          <w:b w:val="0"/>
          <w:bCs/>
          <w:color w:val="000000"/>
          <w:szCs w:val="44"/>
          <w:highlight w:val="none"/>
        </w:rPr>
        <w:br w:type="page"/>
      </w:r>
    </w:p>
    <w:p>
      <w:pPr>
        <w:pStyle w:val="5"/>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第二章 竞争谈判须知</w:t>
      </w:r>
      <w:bookmarkEnd w:id="4"/>
      <w:bookmarkEnd w:id="5"/>
      <w:bookmarkEnd w:id="6"/>
      <w:bookmarkStart w:id="7" w:name="_Toc6644"/>
    </w:p>
    <w:bookmarkEnd w:id="7"/>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bookmarkStart w:id="8" w:name="_Toc135998992"/>
      <w:bookmarkStart w:id="9" w:name="_Toc161767419"/>
      <w:bookmarkStart w:id="10" w:name="_Toc18772"/>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w:t>
      </w:r>
      <w:r>
        <w:rPr>
          <w:rFonts w:hint="eastAsia" w:ascii="仿宋_GB2312" w:hAnsi="宋体" w:eastAsia="仿宋_GB2312"/>
          <w:sz w:val="32"/>
          <w:szCs w:val="32"/>
          <w:highlight w:val="none"/>
          <w:lang w:eastAsia="zh-CN"/>
        </w:rPr>
        <w:t>谈判响应人</w:t>
      </w:r>
      <w:r>
        <w:rPr>
          <w:rFonts w:hint="eastAsia" w:ascii="仿宋_GB2312" w:hAnsi="宋体" w:eastAsia="仿宋_GB2312"/>
          <w:sz w:val="32"/>
          <w:szCs w:val="32"/>
          <w:highlight w:val="none"/>
        </w:rPr>
        <w:t>印章</w:t>
      </w:r>
      <w:bookmarkStart w:id="377" w:name="_GoBack"/>
      <w:bookmarkEnd w:id="377"/>
      <w:r>
        <w:rPr>
          <w:rFonts w:hint="eastAsia" w:ascii="仿宋_GB2312" w:hAnsi="宋体" w:eastAsia="仿宋_GB2312"/>
          <w:sz w:val="32"/>
          <w:szCs w:val="32"/>
          <w:highlight w:val="none"/>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谈判响应人</w:t>
      </w:r>
      <w:r>
        <w:rPr>
          <w:rFonts w:hint="eastAsia" w:ascii="仿宋_GB2312" w:hAnsi="宋体" w:eastAsia="仿宋_GB2312"/>
          <w:sz w:val="32"/>
          <w:szCs w:val="32"/>
          <w:highlight w:val="none"/>
        </w:rPr>
        <w:t>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电子版1份，需单独封装</w:t>
      </w:r>
      <w:r>
        <w:rPr>
          <w:rFonts w:hint="eastAsia" w:ascii="仿宋_GB2312" w:hAnsi="宋体" w:eastAsia="仿宋_GB2312"/>
          <w:sz w:val="32"/>
          <w:szCs w:val="32"/>
          <w:highlight w:val="none"/>
          <w:lang w:eastAsia="zh-CN"/>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谈判响应人</w:t>
      </w:r>
      <w:r>
        <w:rPr>
          <w:rFonts w:hint="eastAsia" w:ascii="仿宋_GB2312" w:hAnsi="宋体" w:eastAsia="仿宋_GB2312"/>
          <w:sz w:val="32"/>
          <w:szCs w:val="32"/>
          <w:highlight w:val="none"/>
        </w:rPr>
        <w:t>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范围内全部内容的价格体现，报价方式采用固定单价，最高投标限价为</w:t>
      </w:r>
      <w:r>
        <w:rPr>
          <w:rFonts w:hint="eastAsia" w:ascii="仿宋_GB2312" w:hAnsi="宋体" w:eastAsia="仿宋_GB2312" w:cs="Times New Roman"/>
          <w:b w:val="0"/>
          <w:bCs w:val="0"/>
          <w:snapToGrid w:val="0"/>
          <w:kern w:val="2"/>
          <w:sz w:val="32"/>
          <w:szCs w:val="32"/>
          <w:highlight w:val="none"/>
          <w:lang w:val="en-US" w:eastAsia="zh-CN" w:bidi="ar-SA"/>
        </w:rPr>
        <w:t>353万</w:t>
      </w:r>
      <w:r>
        <w:rPr>
          <w:rFonts w:hint="eastAsia" w:ascii="仿宋_GB2312" w:hAnsi="宋体" w:eastAsia="仿宋_GB2312"/>
          <w:sz w:val="32"/>
          <w:szCs w:val="32"/>
          <w:highlight w:val="none"/>
        </w:rPr>
        <w:t xml:space="preserve">元，一旦中标，报价不予调整。                               </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bidi w:val="0"/>
        <w:rPr>
          <w:rFonts w:hint="eastAsia"/>
          <w:highlight w:val="none"/>
        </w:rPr>
      </w:pPr>
    </w:p>
    <w:p>
      <w:pPr>
        <w:bidi w:val="0"/>
        <w:rPr>
          <w:rFonts w:hint="eastAsia"/>
          <w:highlight w:val="none"/>
        </w:rPr>
      </w:pPr>
    </w:p>
    <w:p>
      <w:pPr>
        <w:bidi w:val="0"/>
        <w:rPr>
          <w:rFonts w:hint="eastAsia"/>
          <w:highlight w:val="none"/>
        </w:rPr>
      </w:pPr>
    </w:p>
    <w:p>
      <w:pPr>
        <w:pStyle w:val="5"/>
        <w:numPr>
          <w:ilvl w:val="0"/>
          <w:numId w:val="1"/>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1" w:name="_Toc26124"/>
      <w:r>
        <w:rPr>
          <w:rFonts w:hint="eastAsia" w:ascii="方正小标宋简体" w:hAnsi="仿宋_GB2312" w:eastAsia="方正小标宋简体"/>
          <w:b w:val="0"/>
          <w:bCs/>
          <w:color w:val="000000"/>
          <w:szCs w:val="44"/>
          <w:highlight w:val="none"/>
          <w:lang w:val="en-US" w:eastAsia="zh-CN"/>
        </w:rPr>
        <w:t>评分办法</w:t>
      </w:r>
      <w:bookmarkEnd w:id="11"/>
    </w:p>
    <w:p>
      <w:pPr>
        <w:numPr>
          <w:ilvl w:val="0"/>
          <w:numId w:val="0"/>
        </w:numPr>
        <w:rPr>
          <w:rFonts w:hint="eastAsia"/>
          <w:highlight w:val="none"/>
          <w:lang w:val="en-US" w:eastAsia="zh-CN"/>
        </w:rPr>
      </w:pPr>
    </w:p>
    <w:tbl>
      <w:tblPr>
        <w:tblStyle w:val="21"/>
        <w:tblpPr w:leftFromText="180" w:rightFromText="180" w:vertAnchor="text" w:horzAnchor="page" w:tblpX="1479" w:tblpY="94"/>
        <w:tblOverlap w:val="neve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224"/>
        <w:gridCol w:w="655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评审项目</w:t>
            </w:r>
          </w:p>
        </w:tc>
        <w:tc>
          <w:tcPr>
            <w:tcW w:w="65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评分要求</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000000"/>
                <w:szCs w:val="21"/>
                <w:highlight w:val="none"/>
              </w:rPr>
            </w:pPr>
            <w:r>
              <w:rPr>
                <w:rFonts w:hint="eastAsia" w:ascii="宋体" w:hAnsi="宋体"/>
                <w:b/>
                <w:bCs/>
                <w:color w:val="000000"/>
                <w:szCs w:val="21"/>
                <w:highlight w:val="none"/>
              </w:rPr>
              <w:t>投标响应页码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szCs w:val="21"/>
                <w:highlight w:val="none"/>
              </w:rPr>
            </w:pPr>
            <w:r>
              <w:rPr>
                <w:rFonts w:hint="eastAsia" w:ascii="宋体" w:hAnsi="宋体" w:cs="宋体"/>
                <w:szCs w:val="21"/>
                <w:highlight w:val="none"/>
                <w:lang w:val="en-US" w:eastAsia="zh-CN"/>
              </w:rPr>
              <w:t>业绩要求</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Cs w:val="21"/>
                <w:highlight w:val="none"/>
                <w:lang w:val="en-US" w:eastAsia="zh-CN"/>
              </w:rPr>
            </w:pPr>
            <w:r>
              <w:rPr>
                <w:rFonts w:hint="eastAsia" w:hAnsi="宋体" w:cs="宋体"/>
                <w:szCs w:val="21"/>
                <w:highlight w:val="none"/>
              </w:rPr>
              <w:t>每</w:t>
            </w:r>
            <w:r>
              <w:rPr>
                <w:rFonts w:hint="eastAsia" w:hAnsi="宋体" w:cs="宋体"/>
                <w:szCs w:val="21"/>
                <w:highlight w:val="none"/>
                <w:lang w:val="en-US" w:eastAsia="zh-CN"/>
              </w:rPr>
              <w:t>提供</w:t>
            </w:r>
            <w:r>
              <w:rPr>
                <w:rFonts w:hint="eastAsia" w:hAnsi="宋体" w:cs="宋体"/>
                <w:szCs w:val="21"/>
                <w:highlight w:val="none"/>
              </w:rPr>
              <w:t>一项</w:t>
            </w:r>
            <w:r>
              <w:rPr>
                <w:rFonts w:hint="eastAsia" w:hAnsi="宋体" w:cs="宋体"/>
                <w:szCs w:val="21"/>
                <w:highlight w:val="none"/>
                <w:lang w:val="en-US" w:eastAsia="zh-CN"/>
              </w:rPr>
              <w:t>井场建设相似</w:t>
            </w:r>
            <w:r>
              <w:rPr>
                <w:rFonts w:hint="eastAsia" w:hAnsi="宋体" w:cs="宋体"/>
                <w:szCs w:val="21"/>
                <w:highlight w:val="none"/>
              </w:rPr>
              <w:t>业绩得</w:t>
            </w:r>
            <w:r>
              <w:rPr>
                <w:rFonts w:hint="eastAsia" w:hAnsi="宋体" w:cs="宋体"/>
                <w:szCs w:val="21"/>
                <w:highlight w:val="none"/>
                <w:lang w:val="en-US" w:eastAsia="zh-CN"/>
              </w:rPr>
              <w:t>3</w:t>
            </w:r>
            <w:r>
              <w:rPr>
                <w:rFonts w:hint="eastAsia" w:hAnsi="宋体" w:cs="宋体"/>
                <w:szCs w:val="21"/>
                <w:highlight w:val="none"/>
              </w:rPr>
              <w:t>分，最多得</w:t>
            </w:r>
            <w:r>
              <w:rPr>
                <w:rFonts w:hint="eastAsia" w:hAnsi="宋体" w:cs="宋体"/>
                <w:szCs w:val="21"/>
                <w:highlight w:val="none"/>
                <w:lang w:val="en-US" w:eastAsia="zh-CN"/>
              </w:rPr>
              <w:t>9</w:t>
            </w:r>
            <w:r>
              <w:rPr>
                <w:rFonts w:hint="eastAsia" w:hAnsi="宋体" w:cs="宋体"/>
                <w:szCs w:val="21"/>
                <w:highlight w:val="none"/>
              </w:rPr>
              <w:t>分，未提供 0 分。（每份业绩合同均须为真实且已履行过的合同，提供加盖公章的合同扫描件</w:t>
            </w:r>
            <w:r>
              <w:rPr>
                <w:rFonts w:hint="eastAsia" w:hAnsi="宋体" w:cs="宋体"/>
                <w:szCs w:val="21"/>
                <w:highlight w:val="none"/>
                <w:lang w:eastAsia="zh-CN"/>
              </w:rPr>
              <w:t>）</w:t>
            </w:r>
            <w:r>
              <w:rPr>
                <w:rFonts w:hint="eastAsia" w:hAnsi="宋体" w:cs="宋体"/>
                <w:szCs w:val="21"/>
                <w:highlight w:val="none"/>
                <w:lang w:val="en-US" w:eastAsia="zh-CN"/>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综合实力（6分）</w:t>
            </w:r>
          </w:p>
        </w:tc>
        <w:tc>
          <w:tcPr>
            <w:tcW w:w="6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hAnsi="宋体" w:cs="宋体"/>
                <w:szCs w:val="21"/>
                <w:highlight w:val="none"/>
                <w:lang w:val="en-US" w:eastAsia="zh-CN"/>
              </w:rPr>
            </w:pPr>
            <w:r>
              <w:rPr>
                <w:rFonts w:hint="eastAsia" w:hAnsi="宋体" w:cs="宋体"/>
                <w:szCs w:val="21"/>
                <w:highlight w:val="none"/>
                <w:lang w:val="en-US" w:eastAsia="zh-CN"/>
              </w:rPr>
              <w:t>根据谈判响应人注册资金、实缴资金、企业规模、企业性质、资信情况、财务状况进行打分，视情况得1-6分。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0"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施工组织方案</w:t>
            </w:r>
          </w:p>
          <w:p>
            <w:pPr>
              <w:spacing w:line="300" w:lineRule="exact"/>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15</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pStyle w:val="30"/>
              <w:spacing w:line="240" w:lineRule="exact"/>
              <w:ind w:firstLine="0" w:firstLineChars="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施工方案、</w:t>
            </w:r>
            <w:r>
              <w:rPr>
                <w:rFonts w:hint="eastAsia" w:ascii="宋体" w:hAnsi="宋体" w:cs="宋体"/>
                <w:kern w:val="2"/>
                <w:sz w:val="21"/>
                <w:szCs w:val="21"/>
                <w:highlight w:val="none"/>
                <w:lang w:val="en-US" w:eastAsia="zh-CN" w:bidi="ar-SA"/>
              </w:rPr>
              <w:t>现场组织机构、质量及安全保证体系完备</w:t>
            </w:r>
            <w:r>
              <w:rPr>
                <w:rFonts w:hint="eastAsia" w:ascii="宋体" w:hAnsi="宋体" w:eastAsia="宋体" w:cs="宋体"/>
                <w:kern w:val="2"/>
                <w:sz w:val="21"/>
                <w:szCs w:val="21"/>
                <w:highlight w:val="none"/>
                <w:lang w:val="en-US" w:eastAsia="zh-CN" w:bidi="ar-SA"/>
              </w:rPr>
              <w:t>，技术措施针对工程质量、工期和施工安全生产有保障，优秀得</w:t>
            </w:r>
            <w:r>
              <w:rPr>
                <w:rFonts w:hint="eastAsia" w:ascii="宋体" w:hAnsi="宋体" w:cs="宋体"/>
                <w:kern w:val="2"/>
                <w:sz w:val="21"/>
                <w:szCs w:val="21"/>
                <w:highlight w:val="none"/>
                <w:lang w:val="en-US" w:eastAsia="zh-CN" w:bidi="ar-SA"/>
              </w:rPr>
              <w:t>11</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15</w:t>
            </w:r>
            <w:r>
              <w:rPr>
                <w:rFonts w:hint="eastAsia" w:ascii="宋体" w:hAnsi="宋体" w:eastAsia="宋体" w:cs="宋体"/>
                <w:kern w:val="2"/>
                <w:sz w:val="21"/>
                <w:szCs w:val="21"/>
                <w:highlight w:val="none"/>
                <w:lang w:val="en-US" w:eastAsia="zh-CN" w:bidi="ar-SA"/>
              </w:rPr>
              <w:t>分，良好得</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分，一般得</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7" w:hRule="atLeast"/>
        </w:trPr>
        <w:tc>
          <w:tcPr>
            <w:tcW w:w="479" w:type="dxa"/>
            <w:tcBorders>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color w:val="000000"/>
                <w:szCs w:val="21"/>
                <w:highlight w:val="none"/>
              </w:rPr>
              <w:t>价</w:t>
            </w:r>
            <w:r>
              <w:rPr>
                <w:rFonts w:hint="eastAsia" w:ascii="宋体" w:hAnsi="宋体" w:cs="宋体"/>
                <w:szCs w:val="21"/>
                <w:highlight w:val="none"/>
              </w:rPr>
              <w:t>格分</w:t>
            </w:r>
          </w:p>
          <w:p>
            <w:pPr>
              <w:jc w:val="center"/>
              <w:rPr>
                <w:rFonts w:ascii="宋体" w:hAnsi="宋体" w:cs="宋体"/>
                <w:color w:val="000000"/>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70</w:t>
            </w:r>
            <w:r>
              <w:rPr>
                <w:rFonts w:hint="eastAsia" w:ascii="宋体" w:hAnsi="宋体" w:cs="宋体"/>
                <w:szCs w:val="21"/>
                <w:highlight w:val="none"/>
              </w:rPr>
              <w:t>分</w:t>
            </w:r>
            <w:r>
              <w:rPr>
                <w:rFonts w:hint="eastAsia" w:ascii="宋体" w:hAnsi="宋体" w:cs="宋体"/>
                <w:szCs w:val="21"/>
                <w:highlight w:val="none"/>
                <w:lang w:eastAsia="zh-CN"/>
              </w:rPr>
              <w:t>）</w:t>
            </w:r>
          </w:p>
        </w:tc>
        <w:tc>
          <w:tcPr>
            <w:tcW w:w="6558" w:type="dxa"/>
            <w:tcBorders>
              <w:top w:val="single" w:color="auto" w:sz="4" w:space="0"/>
              <w:left w:val="single" w:color="auto" w:sz="4" w:space="0"/>
              <w:bottom w:val="single" w:color="auto" w:sz="4" w:space="0"/>
              <w:right w:val="single" w:color="auto" w:sz="4" w:space="0"/>
            </w:tcBorders>
            <w:vAlign w:val="center"/>
          </w:tcPr>
          <w:p>
            <w:pPr>
              <w:pStyle w:val="30"/>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w:t>
            </w:r>
          </w:p>
          <w:p>
            <w:pPr>
              <w:pStyle w:val="30"/>
              <w:spacing w:line="240" w:lineRule="exact"/>
              <w:ind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lang w:eastAsia="zh-Hans"/>
              </w:rPr>
              <w:tab/>
            </w:r>
            <w:r>
              <w:rPr>
                <w:rFonts w:hint="eastAsia" w:ascii="宋体" w:hAnsi="宋体" w:cs="宋体"/>
                <w:szCs w:val="21"/>
                <w:highlight w:val="none"/>
                <w:lang w:eastAsia="zh-Hans"/>
              </w:rPr>
              <w:t>Fi=</w:t>
            </w:r>
            <w:r>
              <w:rPr>
                <w:rFonts w:hint="eastAsia" w:ascii="宋体" w:hAnsi="宋体" w:cs="宋体"/>
                <w:szCs w:val="21"/>
                <w:highlight w:val="none"/>
                <w:lang w:eastAsia="zh-Hans"/>
              </w:rPr>
              <w:tab/>
            </w:r>
            <w:r>
              <w:rPr>
                <w:rFonts w:hint="eastAsia" w:ascii="宋体" w:hAnsi="宋体" w:cs="宋体"/>
                <w:szCs w:val="21"/>
                <w:highlight w:val="none"/>
                <w:lang w:eastAsia="zh-Hans"/>
              </w:rPr>
              <w:t xml:space="preserve">      </w:t>
            </w:r>
            <w:r>
              <w:rPr>
                <w:rFonts w:hint="eastAsia" w:ascii="宋体" w:hAnsi="宋体" w:cs="宋体"/>
                <w:szCs w:val="21"/>
                <w:highlight w:val="none"/>
              </w:rPr>
              <mc:AlternateContent>
                <mc:Choice Requires="wpg">
                  <w:drawing>
                    <wp:inline distT="0" distB="0" distL="0" distR="0">
                      <wp:extent cx="928370" cy="6350"/>
                      <wp:effectExtent l="0" t="4445" r="5080" b="1905"/>
                      <wp:docPr id="3" name="Group 48678"/>
                      <wp:cNvGraphicFramePr/>
                      <a:graphic xmlns:a="http://schemas.openxmlformats.org/drawingml/2006/main">
                        <a:graphicData uri="http://schemas.microsoft.com/office/word/2010/wordprocessingGroup">
                          <wpg:wgp>
                            <wpg:cNvGrpSpPr/>
                            <wpg:grpSpPr>
                              <a:xfrm>
                                <a:off x="0" y="0"/>
                                <a:ext cx="928370" cy="6350"/>
                                <a:chOff x="0" y="0"/>
                                <a:chExt cx="928370" cy="6350"/>
                              </a:xfrm>
                            </wpg:grpSpPr>
                            <wps:wsp>
                              <wps:cNvPr id="5" name="Shape 2604"/>
                              <wps:cNvSpPr/>
                              <wps:spPr>
                                <a:xfrm>
                                  <a:off x="0" y="0"/>
                                  <a:ext cx="928370" cy="0"/>
                                </a:xfrm>
                                <a:custGeom>
                                  <a:avLst/>
                                  <a:gdLst/>
                                  <a:ahLst/>
                                  <a:cxnLst/>
                                  <a:rect l="0" t="0" r="0" b="0"/>
                                  <a:pathLst>
                                    <a:path w="928370">
                                      <a:moveTo>
                                        <a:pt x="0" y="0"/>
                                      </a:moveTo>
                                      <a:lnTo>
                                        <a:pt x="9283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8678" o:spid="_x0000_s1026" o:spt="203" style="height:0.5pt;width:73.1pt;" coordsize="928370,6350" o:gfxdata="UEsDBAoAAAAAAIdO4kAAAAAAAAAAAAAAAAAEAAAAZHJzL1BLAwQUAAAACACHTuJAjR8XT9QAAAAD&#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0fF0/UAAAAAwEAAA8AAAAAAAAAAQAgAAAAIgAAAGRycy9kb3ducmV2Lnht&#10;bFBLAQIUABQAAAAIAIdO4kCrtkzONgIAAD8FAAAOAAAAAAAAAAEAIAAAACMBAABkcnMvZTJvRG9j&#10;LnhtbFBLBQYAAAAABgAGAFkBAADLBQAAAAA=&#10;">
                      <o:lock v:ext="edit" aspectratio="f"/>
                      <v:shape id="Shape 2604" o:spid="_x0000_s1026" o:spt="100" style="position:absolute;left:0;top:0;height:0;width:928370;" filled="f" stroked="t" coordsize="928370,1" o:gfxdata="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dQ1ji2AAAA2gAAAA8A&#10;AAAAAAAAAQAgAAAAIgAAAGRycy9kb3ducmV2LnhtbFBLAQIUABQAAAAIAIdO4kAzLwWeOwAAADkA&#10;AAAQAAAAAAAAAAEAIAAAAAUBAABkcnMvc2hhcGV4bWwueG1sUEsFBgAAAAAGAAYAWwEAAK8DAAAA&#10;AA==&#10;" path="m0,0l928370,0e">
                        <v:fill on="f" focussize="0,0"/>
                        <v:stroke weight="0.5pt" color="#000000" miterlimit="1" joinstyle="miter"/>
                        <v:imagedata o:title=""/>
                        <o:lock v:ext="edit" aspectratio="f"/>
                      </v:shape>
                      <w10:wrap type="none"/>
                      <w10:anchorlock/>
                    </v:group>
                  </w:pict>
                </mc:Fallback>
              </mc:AlternateContent>
            </w:r>
            <w:r>
              <w:rPr>
                <w:rFonts w:hint="eastAsia" w:ascii="宋体" w:hAnsi="宋体" w:cs="宋体"/>
                <w:szCs w:val="21"/>
                <w:highlight w:val="none"/>
                <w:lang w:eastAsia="zh-Hans"/>
              </w:rPr>
              <w:t xml:space="preserve"> ×</w:t>
            </w:r>
            <w:r>
              <w:rPr>
                <w:rFonts w:hint="eastAsia" w:ascii="宋体" w:hAnsi="宋体" w:cs="宋体"/>
                <w:szCs w:val="21"/>
                <w:highlight w:val="none"/>
                <w:lang w:val="en-US" w:eastAsia="zh-CN"/>
              </w:rPr>
              <w:t>70</w:t>
            </w:r>
          </w:p>
          <w:p>
            <w:pPr>
              <w:pStyle w:val="30"/>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Di</w:t>
            </w:r>
          </w:p>
          <w:p>
            <w:pPr>
              <w:pStyle w:val="30"/>
              <w:spacing w:line="240" w:lineRule="exact"/>
              <w:ind w:firstLine="0" w:firstLineChars="0"/>
              <w:rPr>
                <w:rFonts w:ascii="宋体" w:hAnsi="宋体" w:cs="宋体"/>
                <w:szCs w:val="21"/>
                <w:highlight w:val="none"/>
                <w:lang w:eastAsia="zh-Hans"/>
              </w:rPr>
            </w:pPr>
          </w:p>
          <w:p>
            <w:pPr>
              <w:pStyle w:val="30"/>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Fi—</w:t>
            </w:r>
            <w:r>
              <w:rPr>
                <w:rFonts w:hint="eastAsia" w:ascii="宋体" w:hAnsi="宋体" w:cs="宋体"/>
                <w:szCs w:val="21"/>
                <w:highlight w:val="none"/>
                <w:lang w:eastAsia="zh-CN"/>
              </w:rPr>
              <w:t>谈判响应人</w:t>
            </w:r>
            <w:r>
              <w:rPr>
                <w:rFonts w:hint="eastAsia" w:ascii="宋体" w:hAnsi="宋体" w:cs="宋体"/>
                <w:szCs w:val="21"/>
                <w:highlight w:val="none"/>
                <w:lang w:eastAsia="zh-Hans"/>
              </w:rPr>
              <w:t>投标报价得分；</w:t>
            </w:r>
          </w:p>
          <w:p>
            <w:pPr>
              <w:pStyle w:val="30"/>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Di—</w:t>
            </w:r>
            <w:r>
              <w:rPr>
                <w:rFonts w:hint="eastAsia" w:ascii="宋体" w:hAnsi="宋体" w:cs="宋体"/>
                <w:szCs w:val="21"/>
                <w:highlight w:val="none"/>
                <w:lang w:eastAsia="zh-CN"/>
              </w:rPr>
              <w:t>谈判响应人</w:t>
            </w:r>
            <w:r>
              <w:rPr>
                <w:rFonts w:hint="eastAsia" w:ascii="宋体" w:hAnsi="宋体" w:cs="宋体"/>
                <w:szCs w:val="21"/>
                <w:highlight w:val="none"/>
                <w:lang w:eastAsia="zh-Hans"/>
              </w:rPr>
              <w:t>的有效的投标报价；</w:t>
            </w:r>
          </w:p>
          <w:p>
            <w:pPr>
              <w:pStyle w:val="30"/>
              <w:spacing w:line="240" w:lineRule="exact"/>
              <w:ind w:left="0" w:leftChars="0" w:firstLine="0" w:firstLineChars="0"/>
              <w:rPr>
                <w:rFonts w:ascii="宋体" w:hAnsi="宋体" w:cs="宋体"/>
                <w:szCs w:val="21"/>
                <w:highlight w:val="none"/>
              </w:rPr>
            </w:pPr>
            <w:r>
              <w:rPr>
                <w:rFonts w:hint="eastAsia" w:ascii="宋体" w:hAnsi="宋体" w:cs="宋体"/>
                <w:szCs w:val="21"/>
                <w:highlight w:val="none"/>
                <w:lang w:eastAsia="zh-Hans"/>
              </w:rPr>
              <w:t>D—评标基准价</w:t>
            </w:r>
            <w:r>
              <w:rPr>
                <w:rFonts w:hint="eastAsia" w:ascii="宋体" w:hAnsi="宋体" w:cs="宋体"/>
                <w:szCs w:val="21"/>
                <w:highlight w:val="none"/>
                <w:lang w:eastAsia="zh-CN"/>
              </w:rPr>
              <w:t>，</w:t>
            </w:r>
            <w:r>
              <w:rPr>
                <w:rFonts w:hint="eastAsia" w:ascii="宋体" w:hAnsi="宋体" w:cs="宋体"/>
                <w:szCs w:val="21"/>
                <w:highlight w:val="none"/>
                <w:lang w:val="en-US" w:eastAsia="zh-CN"/>
              </w:rPr>
              <w:t>合格谈判响应人中的最低报价作为评标基准价。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zCs w:val="21"/>
                <w:highlight w:val="none"/>
              </w:rPr>
            </w:pPr>
          </w:p>
        </w:tc>
      </w:tr>
    </w:tbl>
    <w:p>
      <w:pPr>
        <w:pStyle w:val="6"/>
        <w:spacing w:after="233"/>
        <w:jc w:val="left"/>
        <w:rPr>
          <w:rFonts w:ascii="宋体" w:hAnsi="宋体" w:eastAsia="宋体" w:cs="宋体"/>
          <w:b w:val="0"/>
          <w:bCs/>
          <w:highlight w:val="none"/>
        </w:rPr>
      </w:pPr>
      <w:bookmarkStart w:id="12" w:name="_Toc27928"/>
      <w:bookmarkStart w:id="13" w:name="_Toc11111"/>
      <w:bookmarkStart w:id="14" w:name="_Toc11095"/>
      <w:r>
        <w:rPr>
          <w:rFonts w:hint="eastAsia" w:ascii="宋体" w:hAnsi="宋体" w:cs="Times New Roman"/>
          <w:color w:val="000000"/>
          <w:kern w:val="2"/>
          <w:sz w:val="18"/>
          <w:szCs w:val="18"/>
          <w:highlight w:val="none"/>
          <w:lang w:val="en-US" w:eastAsia="zh-CN" w:bidi="ar-SA"/>
        </w:rPr>
        <w:t>备注：</w:t>
      </w:r>
      <w:r>
        <w:rPr>
          <w:rFonts w:hint="eastAsia" w:ascii="宋体" w:hAnsi="宋体" w:cs="Times New Roman"/>
          <w:b w:val="0"/>
          <w:bCs/>
          <w:color w:val="000000"/>
          <w:kern w:val="2"/>
          <w:sz w:val="18"/>
          <w:szCs w:val="18"/>
          <w:highlight w:val="none"/>
          <w:lang w:val="en-US" w:eastAsia="zh-CN" w:bidi="ar-SA"/>
        </w:rPr>
        <w:t>谈判响应人</w:t>
      </w:r>
      <w:r>
        <w:rPr>
          <w:rFonts w:hint="eastAsia" w:ascii="宋体" w:hAnsi="宋体" w:cs="Times New Roman"/>
          <w:b w:val="0"/>
          <w:bCs/>
          <w:color w:val="000000"/>
          <w:kern w:val="2"/>
          <w:sz w:val="18"/>
          <w:szCs w:val="18"/>
          <w:highlight w:val="none"/>
          <w:lang w:val="en-US" w:eastAsia="zh-Hans" w:bidi="ar-SA"/>
        </w:rPr>
        <w:t>报价明显低于</w:t>
      </w:r>
      <w:r>
        <w:rPr>
          <w:rFonts w:hint="eastAsia" w:ascii="宋体" w:hAnsi="宋体" w:cs="Times New Roman"/>
          <w:b w:val="0"/>
          <w:bCs/>
          <w:color w:val="000000"/>
          <w:kern w:val="2"/>
          <w:sz w:val="18"/>
          <w:szCs w:val="18"/>
          <w:highlight w:val="none"/>
          <w:lang w:val="en-US" w:eastAsia="zh-CN" w:bidi="ar-SA"/>
        </w:rPr>
        <w:t>成本</w:t>
      </w:r>
      <w:r>
        <w:rPr>
          <w:rFonts w:hint="eastAsia" w:ascii="宋体" w:hAnsi="宋体" w:cs="Times New Roman"/>
          <w:b w:val="0"/>
          <w:bCs/>
          <w:color w:val="000000"/>
          <w:kern w:val="2"/>
          <w:sz w:val="18"/>
          <w:szCs w:val="18"/>
          <w:highlight w:val="none"/>
          <w:lang w:val="en-US" w:eastAsia="zh-Hans" w:bidi="ar-SA"/>
        </w:rPr>
        <w:t>价，经评审专家审定后，以废标处理。</w:t>
      </w:r>
      <w:bookmarkEnd w:id="12"/>
      <w:bookmarkEnd w:id="13"/>
      <w:bookmarkEnd w:id="14"/>
    </w:p>
    <w:p>
      <w:pPr>
        <w:pStyle w:val="5"/>
        <w:spacing w:before="0" w:after="0" w:line="660" w:lineRule="exact"/>
        <w:jc w:val="center"/>
        <w:rPr>
          <w:rFonts w:hint="eastAsia"/>
          <w:highlight w:val="none"/>
          <w:lang w:val="en-US" w:eastAsia="zh-CN"/>
        </w:rPr>
      </w:pPr>
    </w:p>
    <w:p>
      <w:pPr>
        <w:bidi w:val="0"/>
        <w:jc w:val="center"/>
        <w:rPr>
          <w:rFonts w:hint="eastAsia" w:ascii="方正小标宋简体" w:hAnsi="方正小标宋简体" w:eastAsia="方正小标宋简体" w:cs="方正小标宋简体"/>
          <w:sz w:val="48"/>
          <w:szCs w:val="48"/>
          <w:highlight w:val="none"/>
        </w:rPr>
      </w:pPr>
      <w:r>
        <w:rPr>
          <w:rFonts w:hint="eastAsia" w:ascii="方正小标宋简体" w:hAnsi="方正小标宋简体" w:eastAsia="方正小标宋简体" w:cs="方正小标宋简体"/>
          <w:sz w:val="48"/>
          <w:szCs w:val="48"/>
          <w:highlight w:val="none"/>
        </w:rPr>
        <w:br w:type="page"/>
      </w:r>
    </w:p>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5" w:name="_Toc15923"/>
      <w:r>
        <w:rPr>
          <w:rFonts w:hint="eastAsia" w:ascii="方正小标宋简体" w:hAnsi="仿宋_GB2312" w:eastAsia="方正小标宋简体"/>
          <w:b w:val="0"/>
          <w:bCs/>
          <w:color w:val="000000"/>
          <w:szCs w:val="44"/>
          <w:highlight w:val="none"/>
          <w:lang w:val="en-US" w:eastAsia="zh-CN"/>
        </w:rPr>
        <w:t>第四章 合同主要条款及格式</w:t>
      </w:r>
      <w:bookmarkEnd w:id="15"/>
    </w:p>
    <w:p>
      <w:pPr>
        <w:jc w:val="center"/>
        <w:rPr>
          <w:b/>
          <w:sz w:val="52"/>
          <w:szCs w:val="44"/>
          <w:highlight w:val="none"/>
        </w:rPr>
      </w:pPr>
      <w:bookmarkStart w:id="16" w:name="_Toc97794046"/>
    </w:p>
    <w:p>
      <w:pPr>
        <w:jc w:val="center"/>
        <w:rPr>
          <w:b/>
          <w:sz w:val="52"/>
          <w:szCs w:val="44"/>
          <w:highlight w:val="none"/>
        </w:rPr>
      </w:pPr>
    </w:p>
    <w:p>
      <w:pPr>
        <w:jc w:val="center"/>
        <w:rPr>
          <w:rFonts w:hint="eastAsia" w:eastAsia="宋体"/>
          <w:b/>
          <w:sz w:val="52"/>
          <w:szCs w:val="44"/>
          <w:highlight w:val="none"/>
          <w:lang w:eastAsia="zh-CN"/>
        </w:rPr>
      </w:pPr>
      <w:r>
        <w:rPr>
          <w:b/>
          <w:sz w:val="52"/>
          <w:szCs w:val="44"/>
          <w:highlight w:val="none"/>
        </w:rPr>
        <w:t>建设工程施工合同</w:t>
      </w:r>
    </w:p>
    <w:p>
      <w:pPr>
        <w:jc w:val="center"/>
        <w:rPr>
          <w:b/>
          <w:sz w:val="44"/>
          <w:szCs w:val="44"/>
          <w:highlight w:val="none"/>
        </w:rPr>
      </w:pPr>
      <w:r>
        <w:rPr>
          <w:b/>
          <w:sz w:val="44"/>
          <w:szCs w:val="44"/>
          <w:highlight w:val="none"/>
        </w:rPr>
        <w:t>（示范文本）</w:t>
      </w:r>
    </w:p>
    <w:p>
      <w:pPr>
        <w:rPr>
          <w:b/>
          <w:sz w:val="44"/>
          <w:szCs w:val="44"/>
          <w:highlight w:val="none"/>
        </w:rPr>
      </w:pPr>
    </w:p>
    <w:p>
      <w:pPr>
        <w:rPr>
          <w:b/>
          <w:sz w:val="44"/>
          <w:szCs w:val="44"/>
          <w:highlight w:val="none"/>
        </w:rPr>
      </w:pPr>
    </w:p>
    <w:p>
      <w:pPr>
        <w:rPr>
          <w:b/>
          <w:sz w:val="44"/>
          <w:szCs w:val="44"/>
          <w:highlight w:val="none"/>
        </w:rPr>
      </w:pPr>
    </w:p>
    <w:p>
      <w:pPr>
        <w:jc w:val="center"/>
        <w:rPr>
          <w:rFonts w:eastAsia="Cambria Math"/>
          <w:b/>
          <w:sz w:val="52"/>
          <w:szCs w:val="52"/>
          <w:highlight w:val="none"/>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716" w:type="dxa"/>
            <w:vAlign w:val="center"/>
          </w:tcPr>
          <w:p>
            <w:pPr>
              <w:jc w:val="center"/>
              <w:rPr>
                <w:rFonts w:hint="eastAsia"/>
                <w:b/>
                <w:sz w:val="24"/>
                <w:highlight w:val="none"/>
              </w:rPr>
            </w:pPr>
            <w:r>
              <w:rPr>
                <w:rFonts w:hint="eastAsia"/>
                <w:b/>
                <w:sz w:val="24"/>
                <w:highlight w:val="none"/>
              </w:rPr>
              <w:t>项目名称</w:t>
            </w:r>
          </w:p>
        </w:tc>
        <w:tc>
          <w:tcPr>
            <w:tcW w:w="5806" w:type="dxa"/>
            <w:vAlign w:val="top"/>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2716" w:type="dxa"/>
            <w:vAlign w:val="center"/>
          </w:tcPr>
          <w:p>
            <w:pPr>
              <w:jc w:val="center"/>
              <w:rPr>
                <w:b/>
                <w:sz w:val="24"/>
                <w:highlight w:val="none"/>
              </w:rPr>
            </w:pPr>
            <w:r>
              <w:rPr>
                <w:rFonts w:hint="eastAsia"/>
                <w:b/>
                <w:sz w:val="24"/>
                <w:highlight w:val="none"/>
              </w:rPr>
              <w:t>项目编码</w:t>
            </w:r>
          </w:p>
        </w:tc>
        <w:tc>
          <w:tcPr>
            <w:tcW w:w="5806" w:type="dxa"/>
            <w:vAlign w:val="top"/>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2716" w:type="dxa"/>
            <w:vAlign w:val="center"/>
          </w:tcPr>
          <w:p>
            <w:pPr>
              <w:jc w:val="center"/>
              <w:rPr>
                <w:b/>
                <w:sz w:val="24"/>
                <w:highlight w:val="none"/>
              </w:rPr>
            </w:pPr>
            <w:r>
              <w:rPr>
                <w:rFonts w:hint="eastAsia"/>
                <w:b/>
                <w:sz w:val="24"/>
                <w:highlight w:val="none"/>
              </w:rPr>
              <w:t>项目负责人</w:t>
            </w:r>
          </w:p>
        </w:tc>
        <w:tc>
          <w:tcPr>
            <w:tcW w:w="5806" w:type="dxa"/>
            <w:vAlign w:val="top"/>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716" w:type="dxa"/>
            <w:vAlign w:val="center"/>
          </w:tcPr>
          <w:p>
            <w:pPr>
              <w:jc w:val="center"/>
              <w:rPr>
                <w:b/>
                <w:sz w:val="24"/>
                <w:highlight w:val="none"/>
              </w:rPr>
            </w:pPr>
            <w:r>
              <w:rPr>
                <w:rFonts w:hint="eastAsia"/>
                <w:b/>
                <w:sz w:val="24"/>
                <w:highlight w:val="none"/>
              </w:rPr>
              <w:t>施工工期</w:t>
            </w:r>
          </w:p>
        </w:tc>
        <w:tc>
          <w:tcPr>
            <w:tcW w:w="5806" w:type="dxa"/>
            <w:vAlign w:val="top"/>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2716" w:type="dxa"/>
            <w:vAlign w:val="center"/>
          </w:tcPr>
          <w:p>
            <w:pPr>
              <w:jc w:val="center"/>
              <w:rPr>
                <w:b/>
                <w:sz w:val="24"/>
                <w:highlight w:val="none"/>
              </w:rPr>
            </w:pPr>
            <w:r>
              <w:rPr>
                <w:rFonts w:hint="eastAsia"/>
                <w:b/>
                <w:sz w:val="24"/>
                <w:highlight w:val="none"/>
              </w:rPr>
              <w:t>施工单位</w:t>
            </w:r>
          </w:p>
        </w:tc>
        <w:tc>
          <w:tcPr>
            <w:tcW w:w="5806" w:type="dxa"/>
            <w:vAlign w:val="top"/>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716" w:type="dxa"/>
            <w:vAlign w:val="center"/>
          </w:tcPr>
          <w:p>
            <w:pPr>
              <w:jc w:val="center"/>
              <w:rPr>
                <w:b/>
                <w:sz w:val="24"/>
                <w:highlight w:val="none"/>
              </w:rPr>
            </w:pPr>
            <w:r>
              <w:rPr>
                <w:rFonts w:hint="eastAsia"/>
                <w:b/>
                <w:sz w:val="24"/>
                <w:highlight w:val="none"/>
              </w:rPr>
              <w:t>工程地点</w:t>
            </w:r>
          </w:p>
        </w:tc>
        <w:tc>
          <w:tcPr>
            <w:tcW w:w="5806" w:type="dxa"/>
            <w:vAlign w:val="top"/>
          </w:tcPr>
          <w:p>
            <w:pPr>
              <w:rPr>
                <w:b/>
                <w:highlight w:val="none"/>
              </w:rPr>
            </w:pPr>
          </w:p>
        </w:tc>
      </w:tr>
    </w:tbl>
    <w:p>
      <w:pPr>
        <w:rPr>
          <w:b/>
          <w:sz w:val="22"/>
          <w:szCs w:val="22"/>
          <w:highlight w:val="none"/>
        </w:rPr>
      </w:pPr>
    </w:p>
    <w:p>
      <w:pPr>
        <w:rPr>
          <w:b/>
          <w:sz w:val="22"/>
          <w:szCs w:val="22"/>
          <w:highlight w:val="none"/>
        </w:rPr>
      </w:pPr>
    </w:p>
    <w:p>
      <w:pPr>
        <w:rPr>
          <w:b/>
          <w:sz w:val="22"/>
          <w:szCs w:val="22"/>
          <w:highlight w:val="none"/>
        </w:rPr>
      </w:pPr>
    </w:p>
    <w:p>
      <w:pPr>
        <w:rPr>
          <w:b/>
          <w:sz w:val="22"/>
          <w:szCs w:val="22"/>
          <w:highlight w:val="none"/>
        </w:rPr>
      </w:pPr>
    </w:p>
    <w:p>
      <w:pPr>
        <w:ind w:right="2719" w:rightChars="1295"/>
        <w:jc w:val="distribute"/>
        <w:rPr>
          <w:b/>
          <w:sz w:val="24"/>
          <w:szCs w:val="22"/>
          <w:highlight w:val="none"/>
        </w:rPr>
      </w:pPr>
      <w:r>
        <w:rPr>
          <w:sz w:val="18"/>
          <w:highlight w:val="none"/>
        </w:rPr>
        <mc:AlternateContent>
          <mc:Choice Requires="wps">
            <w:drawing>
              <wp:anchor distT="0" distB="0" distL="114300" distR="114300" simplePos="0" relativeHeight="251664384" behindDoc="0" locked="0" layoutInCell="1" allowOverlap="1">
                <wp:simplePos x="0" y="0"/>
                <wp:positionH relativeFrom="column">
                  <wp:posOffset>4203700</wp:posOffset>
                </wp:positionH>
                <wp:positionV relativeFrom="paragraph">
                  <wp:posOffset>57150</wp:posOffset>
                </wp:positionV>
                <wp:extent cx="1199515" cy="457200"/>
                <wp:effectExtent l="4445" t="5080" r="8890" b="7620"/>
                <wp:wrapNone/>
                <wp:docPr id="7" name="文本框 7"/>
                <wp:cNvGraphicFramePr/>
                <a:graphic xmlns:a="http://schemas.openxmlformats.org/drawingml/2006/main">
                  <a:graphicData uri="http://schemas.microsoft.com/office/word/2010/wordprocessingShape">
                    <wps:wsp>
                      <wps:cNvSpPr txBox="1"/>
                      <wps:spPr>
                        <a:xfrm>
                          <a:off x="0" y="0"/>
                          <a:ext cx="1199515" cy="457200"/>
                        </a:xfrm>
                        <a:prstGeom prst="rect">
                          <a:avLst/>
                        </a:prstGeom>
                        <a:noFill/>
                        <a:ln w="9525" cap="flat" cmpd="sng">
                          <a:solidFill>
                            <a:srgbClr val="FFFFFF"/>
                          </a:solidFill>
                          <a:prstDash val="solid"/>
                          <a:miter/>
                          <a:headEnd type="none" w="med" len="med"/>
                          <a:tailEnd type="none" w="med" len="med"/>
                        </a:ln>
                        <a:effectLst/>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31pt;margin-top:4.5pt;height:36pt;width:94.45pt;z-index:251664384;mso-width-relative:page;mso-height-relative:page;" filled="f" stroked="t" coordsize="21600,21600" o:gfxdata="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g9MH2AAAAAgBAAAPAAAAAAAAAAEAIAAAACIAAABkcnMvZG93bnJldi54bWxQSwECFAAUAAAA&#10;CACHTuJAMVjINe4BAADNAwAADgAAAAAAAAABACAAAAAnAQAAZHJzL2Uyb0RvYy54bWxQSwUGAAAA&#10;AAYABgBZAQAAhwU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b/>
          <w:sz w:val="24"/>
          <w:szCs w:val="22"/>
          <w:highlight w:val="none"/>
        </w:rPr>
        <w:t xml:space="preserve">                 </w:t>
      </w:r>
      <w:r>
        <w:rPr>
          <w:b/>
          <w:sz w:val="24"/>
          <w:szCs w:val="22"/>
          <w:highlight w:val="none"/>
        </w:rPr>
        <w:t>住房</w:t>
      </w:r>
      <w:r>
        <w:rPr>
          <w:rFonts w:hint="eastAsia"/>
          <w:b/>
          <w:sz w:val="24"/>
          <w:szCs w:val="22"/>
          <w:highlight w:val="none"/>
        </w:rPr>
        <w:t>和</w:t>
      </w:r>
      <w:r>
        <w:rPr>
          <w:b/>
          <w:sz w:val="24"/>
          <w:szCs w:val="22"/>
          <w:highlight w:val="none"/>
        </w:rPr>
        <w:t>城乡建设部</w:t>
      </w:r>
    </w:p>
    <w:p>
      <w:pPr>
        <w:ind w:right="2719" w:rightChars="1295" w:firstLine="3142" w:firstLineChars="1304"/>
        <w:jc w:val="distribute"/>
        <w:rPr>
          <w:b/>
          <w:sz w:val="24"/>
          <w:szCs w:val="22"/>
          <w:highlight w:val="none"/>
        </w:rPr>
      </w:pPr>
    </w:p>
    <w:p>
      <w:pPr>
        <w:ind w:right="2719" w:rightChars="1295" w:firstLine="2062" w:firstLineChars="856"/>
        <w:jc w:val="distribute"/>
        <w:rPr>
          <w:b/>
          <w:sz w:val="24"/>
          <w:szCs w:val="22"/>
          <w:highlight w:val="none"/>
        </w:rPr>
      </w:pPr>
      <w:r>
        <w:rPr>
          <w:b/>
          <w:sz w:val="24"/>
          <w:szCs w:val="22"/>
          <w:highlight w:val="none"/>
        </w:rPr>
        <w:t>国家工商行政管理总局</w:t>
      </w:r>
    </w:p>
    <w:p>
      <w:pPr>
        <w:pStyle w:val="7"/>
        <w:outlineLvl w:val="9"/>
        <w:rPr>
          <w:rFonts w:hint="eastAsia"/>
          <w:sz w:val="24"/>
          <w:szCs w:val="24"/>
          <w:highlight w:val="none"/>
        </w:rPr>
      </w:pPr>
    </w:p>
    <w:p>
      <w:pPr>
        <w:pStyle w:val="8"/>
        <w:rPr>
          <w:rFonts w:hint="eastAsia"/>
          <w:highlight w:val="none"/>
        </w:rPr>
      </w:pPr>
    </w:p>
    <w:p>
      <w:pPr>
        <w:rPr>
          <w:rFonts w:hint="eastAsia"/>
          <w:highlight w:val="none"/>
        </w:rPr>
      </w:pPr>
    </w:p>
    <w:p>
      <w:pPr>
        <w:pStyle w:val="7"/>
        <w:rPr>
          <w:rFonts w:hint="eastAsia"/>
          <w:highlight w:val="none"/>
        </w:rPr>
      </w:pPr>
    </w:p>
    <w:p>
      <w:pPr>
        <w:pStyle w:val="8"/>
        <w:rPr>
          <w:rFonts w:hint="eastAsia"/>
          <w:highlight w:val="none"/>
        </w:rPr>
      </w:pPr>
    </w:p>
    <w:p>
      <w:pPr>
        <w:rPr>
          <w:rFonts w:hint="eastAsia"/>
          <w:highlight w:val="none"/>
        </w:rPr>
      </w:pPr>
    </w:p>
    <w:p>
      <w:pPr>
        <w:pStyle w:val="7"/>
        <w:rPr>
          <w:rFonts w:hint="eastAsia"/>
          <w:highlight w:val="none"/>
        </w:rPr>
      </w:pPr>
    </w:p>
    <w:p>
      <w:pPr>
        <w:rPr>
          <w:rFonts w:hint="eastAsia"/>
          <w:highlight w:val="none"/>
        </w:rPr>
      </w:pPr>
    </w:p>
    <w:p>
      <w:pPr>
        <w:numPr>
          <w:ilvl w:val="0"/>
          <w:numId w:val="2"/>
        </w:numPr>
        <w:tabs>
          <w:tab w:val="left" w:pos="0"/>
          <w:tab w:val="left" w:pos="1002"/>
          <w:tab w:val="left" w:pos="1134"/>
        </w:tabs>
        <w:adjustRightInd w:val="0"/>
        <w:snapToGrid w:val="0"/>
        <w:spacing w:line="360" w:lineRule="auto"/>
        <w:ind w:left="567"/>
        <w:jc w:val="center"/>
        <w:outlineLvl w:val="1"/>
        <w:rPr>
          <w:rFonts w:hint="eastAsia" w:ascii="楷体_GB2312" w:hAnsi="楷体_GB2312"/>
          <w:b/>
          <w:sz w:val="24"/>
          <w:highlight w:val="none"/>
        </w:rPr>
      </w:pPr>
      <w:bookmarkStart w:id="17" w:name="_Toc24609"/>
      <w:bookmarkStart w:id="18" w:name="_Toc1370"/>
      <w:bookmarkStart w:id="19" w:name="_Toc4886"/>
      <w:bookmarkStart w:id="20" w:name="_Toc13700"/>
      <w:r>
        <w:rPr>
          <w:rFonts w:hint="eastAsia" w:ascii="楷体_GB2312" w:hAnsi="楷体_GB2312"/>
          <w:b/>
          <w:sz w:val="24"/>
          <w:highlight w:val="none"/>
        </w:rPr>
        <w:t>合同协议书</w:t>
      </w:r>
      <w:bookmarkEnd w:id="17"/>
      <w:bookmarkEnd w:id="18"/>
      <w:bookmarkEnd w:id="19"/>
      <w:bookmarkEnd w:id="20"/>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lang w:val="en-US" w:eastAsia="zh-CN"/>
        </w:rPr>
        <w:t>发包</w:t>
      </w:r>
      <w:r>
        <w:rPr>
          <w:rFonts w:hint="eastAsia" w:ascii="宋体" w:hAnsi="宋体" w:eastAsia="宋体" w:cs="宋体"/>
          <w:sz w:val="32"/>
          <w:szCs w:val="32"/>
          <w:highlight w:val="none"/>
        </w:rPr>
        <w:t>人（全称）：</w:t>
      </w:r>
      <w:bookmarkStart w:id="21" w:name="_Hlk488975642"/>
      <w:r>
        <w:rPr>
          <w:rFonts w:hint="eastAsia" w:ascii="宋体" w:hAnsi="宋体" w:eastAsia="宋体" w:cs="宋体"/>
          <w:sz w:val="32"/>
          <w:szCs w:val="32"/>
          <w:highlight w:val="none"/>
          <w:u w:val="single"/>
        </w:rPr>
        <w:t xml:space="preserve"> </w:t>
      </w:r>
      <w:r>
        <w:rPr>
          <w:rFonts w:hint="eastAsia" w:ascii="宋体" w:hAnsi="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bookmarkEnd w:id="21"/>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承包人（全称）：</w:t>
      </w: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sz w:val="32"/>
          <w:szCs w:val="32"/>
          <w:highlight w:val="none"/>
          <w:u w:val="single"/>
        </w:rPr>
        <w:t xml:space="preserve">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依照《中华人民共和国</w:t>
      </w:r>
      <w:r>
        <w:rPr>
          <w:rFonts w:hint="eastAsia" w:ascii="宋体" w:hAnsi="宋体" w:eastAsia="宋体" w:cs="宋体"/>
          <w:sz w:val="32"/>
          <w:szCs w:val="32"/>
          <w:highlight w:val="none"/>
          <w:lang w:val="en-US" w:eastAsia="zh-CN"/>
        </w:rPr>
        <w:t>民法典</w:t>
      </w:r>
      <w:r>
        <w:rPr>
          <w:rFonts w:hint="eastAsia" w:ascii="宋体" w:hAnsi="宋体" w:eastAsia="宋体" w:cs="宋体"/>
          <w:sz w:val="32"/>
          <w:szCs w:val="32"/>
          <w:highlight w:val="none"/>
        </w:rPr>
        <w:t>》、《中华人民共和国建筑法》及其他有关法律、行政法规，遵循平等、自愿、公平和诚实信用的原则，双方就本建设工程施工事项协商一致，订立本合同。</w:t>
      </w:r>
    </w:p>
    <w:p>
      <w:pPr>
        <w:pageBreakBefore w:val="0"/>
        <w:widowControl w:val="0"/>
        <w:kinsoku/>
        <w:wordWrap/>
        <w:overflowPunct/>
        <w:topLinePunct w:val="0"/>
        <w:bidi w:val="0"/>
        <w:spacing w:line="560" w:lineRule="exact"/>
        <w:ind w:firstLine="643" w:firstLineChars="200"/>
        <w:textAlignment w:val="auto"/>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rPr>
        <w:t>一、工程概况：</w:t>
      </w:r>
      <w:r>
        <w:rPr>
          <w:rFonts w:hint="eastAsia" w:ascii="宋体" w:hAnsi="宋体" w:eastAsia="宋体" w:cs="宋体"/>
          <w:b/>
          <w:sz w:val="32"/>
          <w:szCs w:val="32"/>
          <w:highlight w:val="none"/>
          <w:lang w:val="en-US" w:eastAsia="zh-CN"/>
        </w:rPr>
        <w:t xml:space="preserve"> </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工程名称：</w:t>
      </w:r>
      <w:r>
        <w:rPr>
          <w:rFonts w:hint="eastAsia" w:ascii="仿宋_GB2312" w:hAnsi="宋体" w:eastAsia="仿宋_GB2312"/>
          <w:snapToGrid w:val="0"/>
          <w:sz w:val="32"/>
          <w:szCs w:val="32"/>
          <w:highlight w:val="none"/>
          <w:u w:val="single"/>
          <w:lang w:val="en-US" w:eastAsia="zh-CN"/>
        </w:rPr>
        <w:t>金坛2×350MW盐穴压缩空气储能发电项目地下工程2口井钻井施工井场工程</w:t>
      </w:r>
      <w:r>
        <w:rPr>
          <w:rFonts w:hint="eastAsia" w:ascii="宋体" w:hAnsi="宋体" w:eastAsia="宋体" w:cs="宋体"/>
          <w:sz w:val="32"/>
          <w:szCs w:val="32"/>
          <w:highlight w:val="none"/>
          <w:u w:val="single"/>
        </w:rPr>
        <w:t xml:space="preserve"> </w:t>
      </w:r>
    </w:p>
    <w:p>
      <w:pPr>
        <w:pageBreakBefore w:val="0"/>
        <w:widowControl w:val="0"/>
        <w:kinsoku/>
        <w:wordWrap/>
        <w:overflowPunct/>
        <w:topLinePunct w:val="0"/>
        <w:bidi w:val="0"/>
        <w:adjustRightInd w:val="0"/>
        <w:snapToGrid w:val="0"/>
        <w:spacing w:line="560" w:lineRule="exact"/>
        <w:ind w:firstLine="640" w:firstLineChars="200"/>
        <w:textAlignment w:val="auto"/>
        <w:rPr>
          <w:rFonts w:hint="default" w:ascii="宋体" w:hAnsi="宋体" w:eastAsia="宋体" w:cs="宋体"/>
          <w:sz w:val="32"/>
          <w:szCs w:val="32"/>
          <w:highlight w:val="none"/>
          <w:u w:val="single"/>
          <w:lang w:val="en-US"/>
        </w:rPr>
      </w:pPr>
      <w:r>
        <w:rPr>
          <w:rFonts w:hint="eastAsia" w:ascii="宋体" w:hAnsi="宋体" w:eastAsia="宋体" w:cs="宋体"/>
          <w:sz w:val="32"/>
          <w:szCs w:val="32"/>
          <w:highlight w:val="none"/>
        </w:rPr>
        <w:t>工程地点：</w:t>
      </w:r>
      <w:r>
        <w:rPr>
          <w:rFonts w:hint="eastAsia" w:ascii="宋体" w:hAnsi="宋体" w:eastAsia="宋体" w:cs="宋体"/>
          <w:sz w:val="32"/>
          <w:szCs w:val="32"/>
          <w:highlight w:val="none"/>
          <w:u w:val="single"/>
        </w:rPr>
        <w:t xml:space="preserve"> </w:t>
      </w:r>
      <w:r>
        <w:rPr>
          <w:rFonts w:hint="eastAsia" w:ascii="宋体" w:hAnsi="宋体" w:cs="宋体"/>
          <w:sz w:val="32"/>
          <w:szCs w:val="32"/>
          <w:highlight w:val="none"/>
          <w:u w:val="single"/>
          <w:lang w:val="en-US" w:eastAsia="zh-CN"/>
        </w:rPr>
        <w:t xml:space="preserve">金坛区直溪镇 </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工程内容：</w:t>
      </w:r>
      <w:r>
        <w:rPr>
          <w:rFonts w:hint="eastAsia" w:ascii="仿宋_GB2312" w:hAnsi="宋体" w:eastAsia="仿宋_GB2312" w:cs="Times New Roman"/>
          <w:b w:val="0"/>
          <w:bCs w:val="0"/>
          <w:snapToGrid w:val="0"/>
          <w:kern w:val="2"/>
          <w:sz w:val="32"/>
          <w:szCs w:val="32"/>
          <w:highlight w:val="none"/>
          <w:u w:val="single"/>
          <w:lang w:val="en-US" w:eastAsia="zh-CN" w:bidi="ar-SA"/>
        </w:rPr>
        <w:t>2口井新井场</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资金来源：</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p>
    <w:p>
      <w:pPr>
        <w:pageBreakBefore w:val="0"/>
        <w:widowControl w:val="0"/>
        <w:kinsoku/>
        <w:wordWrap/>
        <w:overflowPunct/>
        <w:topLinePunct w:val="0"/>
        <w:bidi w:val="0"/>
        <w:spacing w:line="560" w:lineRule="exact"/>
        <w:ind w:firstLine="643" w:firstLineChars="200"/>
        <w:jc w:val="left"/>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sz w:val="32"/>
          <w:szCs w:val="32"/>
          <w:highlight w:val="none"/>
        </w:rPr>
        <w:t>二、工程承包范围：</w:t>
      </w:r>
      <w:r>
        <w:rPr>
          <w:rFonts w:hint="eastAsia" w:ascii="宋体" w:hAnsi="宋体" w:eastAsia="宋体" w:cs="宋体"/>
          <w:b/>
          <w:bCs/>
          <w:sz w:val="32"/>
          <w:szCs w:val="32"/>
          <w:highlight w:val="none"/>
          <w:u w:val="single"/>
        </w:rPr>
        <w:t xml:space="preserve"> </w:t>
      </w:r>
      <w:r>
        <w:rPr>
          <w:rFonts w:hint="eastAsia" w:ascii="宋体" w:hAnsi="宋体" w:eastAsia="宋体" w:cs="宋体"/>
          <w:b w:val="0"/>
          <w:bCs w:val="0"/>
          <w:sz w:val="32"/>
          <w:szCs w:val="32"/>
          <w:highlight w:val="none"/>
          <w:u w:val="single"/>
          <w:lang w:val="en-US" w:eastAsia="zh-CN"/>
        </w:rPr>
        <w:t xml:space="preserve">工程量清单中的全部内容  </w:t>
      </w:r>
      <w:r>
        <w:rPr>
          <w:rFonts w:hint="eastAsia" w:ascii="宋体" w:hAnsi="宋体" w:eastAsia="宋体" w:cs="宋体"/>
          <w:b/>
          <w:bCs/>
          <w:sz w:val="32"/>
          <w:szCs w:val="32"/>
          <w:highlight w:val="none"/>
          <w:u w:val="single"/>
          <w:lang w:val="en-US" w:eastAsia="zh-CN"/>
        </w:rPr>
        <w:t xml:space="preserve">        </w:t>
      </w:r>
    </w:p>
    <w:p>
      <w:pPr>
        <w:pageBreakBefore w:val="0"/>
        <w:widowControl w:val="0"/>
        <w:kinsoku/>
        <w:wordWrap/>
        <w:overflowPunct/>
        <w:topLinePunct w:val="0"/>
        <w:bidi w:val="0"/>
        <w:spacing w:line="560" w:lineRule="exact"/>
        <w:ind w:firstLine="643"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三、合同工期</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b/>
          <w:bCs/>
          <w:sz w:val="32"/>
          <w:szCs w:val="32"/>
          <w:highlight w:val="none"/>
          <w:u w:val="single"/>
        </w:rPr>
      </w:pPr>
      <w:r>
        <w:rPr>
          <w:rFonts w:hint="eastAsia" w:ascii="宋体" w:hAnsi="宋体" w:eastAsia="宋体" w:cs="宋体"/>
          <w:sz w:val="32"/>
          <w:szCs w:val="32"/>
          <w:highlight w:val="none"/>
        </w:rPr>
        <w:t xml:space="preserve"> 开工日期：</w:t>
      </w:r>
      <w:r>
        <w:rPr>
          <w:rFonts w:hint="eastAsia" w:ascii="宋体" w:hAnsi="宋体" w:eastAsia="宋体" w:cs="宋体"/>
          <w:b/>
          <w:bCs/>
          <w:sz w:val="32"/>
          <w:szCs w:val="32"/>
          <w:highlight w:val="none"/>
          <w:u w:val="single"/>
        </w:rPr>
        <w:t xml:space="preserve"> </w:t>
      </w:r>
      <w:r>
        <w:rPr>
          <w:rFonts w:hint="eastAsia" w:ascii="宋体" w:hAnsi="宋体" w:eastAsia="宋体" w:cs="宋体"/>
          <w:b/>
          <w:bCs/>
          <w:sz w:val="32"/>
          <w:szCs w:val="32"/>
          <w:highlight w:val="none"/>
          <w:u w:val="single"/>
          <w:lang w:val="en-US" w:eastAsia="zh-CN"/>
        </w:rPr>
        <w:t xml:space="preserve">   </w:t>
      </w:r>
      <w:r>
        <w:rPr>
          <w:rFonts w:hint="eastAsia" w:ascii="宋体" w:hAnsi="宋体" w:eastAsia="宋体" w:cs="宋体"/>
          <w:b/>
          <w:bCs/>
          <w:sz w:val="32"/>
          <w:szCs w:val="32"/>
          <w:highlight w:val="none"/>
          <w:u w:val="single"/>
        </w:rPr>
        <w:t>年</w:t>
      </w:r>
      <w:r>
        <w:rPr>
          <w:rFonts w:hint="eastAsia" w:ascii="宋体" w:hAnsi="宋体" w:eastAsia="宋体" w:cs="宋体"/>
          <w:b/>
          <w:bCs/>
          <w:sz w:val="32"/>
          <w:szCs w:val="32"/>
          <w:highlight w:val="none"/>
          <w:u w:val="single"/>
          <w:lang w:val="en-US" w:eastAsia="zh-CN"/>
        </w:rPr>
        <w:t xml:space="preserve">  </w:t>
      </w:r>
      <w:r>
        <w:rPr>
          <w:rFonts w:hint="eastAsia" w:ascii="宋体" w:hAnsi="宋体" w:eastAsia="宋体" w:cs="宋体"/>
          <w:b/>
          <w:bCs/>
          <w:sz w:val="32"/>
          <w:szCs w:val="32"/>
          <w:highlight w:val="none"/>
          <w:u w:val="single"/>
        </w:rPr>
        <w:t xml:space="preserve">月 </w:t>
      </w:r>
      <w:r>
        <w:rPr>
          <w:rFonts w:hint="eastAsia" w:ascii="宋体" w:hAnsi="宋体" w:eastAsia="宋体" w:cs="宋体"/>
          <w:b/>
          <w:bCs/>
          <w:sz w:val="32"/>
          <w:szCs w:val="32"/>
          <w:highlight w:val="none"/>
          <w:u w:val="single"/>
          <w:lang w:val="en-US" w:eastAsia="zh-CN"/>
        </w:rPr>
        <w:t xml:space="preserve"> </w:t>
      </w:r>
      <w:r>
        <w:rPr>
          <w:rFonts w:hint="eastAsia" w:ascii="宋体" w:hAnsi="宋体" w:eastAsia="宋体" w:cs="宋体"/>
          <w:b/>
          <w:bCs/>
          <w:sz w:val="32"/>
          <w:szCs w:val="32"/>
          <w:highlight w:val="none"/>
          <w:u w:val="single"/>
        </w:rPr>
        <w:t>日（以</w:t>
      </w:r>
      <w:r>
        <w:rPr>
          <w:rFonts w:hint="eastAsia" w:ascii="宋体" w:hAnsi="宋体" w:cs="宋体"/>
          <w:b/>
          <w:bCs/>
          <w:sz w:val="32"/>
          <w:szCs w:val="32"/>
          <w:highlight w:val="none"/>
          <w:u w:val="single"/>
          <w:lang w:val="en-US" w:eastAsia="zh-CN"/>
        </w:rPr>
        <w:t>具体项目</w:t>
      </w:r>
      <w:r>
        <w:rPr>
          <w:rFonts w:hint="eastAsia" w:ascii="宋体" w:hAnsi="宋体" w:eastAsia="宋体" w:cs="宋体"/>
          <w:b/>
          <w:bCs/>
          <w:sz w:val="32"/>
          <w:szCs w:val="32"/>
          <w:highlight w:val="none"/>
          <w:u w:val="single"/>
        </w:rPr>
        <w:t>开工令为准）</w:t>
      </w:r>
      <w:r>
        <w:rPr>
          <w:rFonts w:hint="eastAsia" w:ascii="宋体" w:hAnsi="宋体" w:eastAsia="宋体" w:cs="宋体"/>
          <w:sz w:val="32"/>
          <w:szCs w:val="32"/>
          <w:highlight w:val="none"/>
        </w:rPr>
        <w:t>竣工日期：</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b/>
          <w:bCs/>
          <w:sz w:val="32"/>
          <w:szCs w:val="32"/>
          <w:highlight w:val="none"/>
          <w:u w:val="single"/>
        </w:rPr>
        <w:t>年</w:t>
      </w:r>
      <w:r>
        <w:rPr>
          <w:rFonts w:hint="eastAsia" w:ascii="宋体" w:hAnsi="宋体" w:eastAsia="宋体" w:cs="宋体"/>
          <w:b/>
          <w:bCs/>
          <w:sz w:val="32"/>
          <w:szCs w:val="32"/>
          <w:highlight w:val="none"/>
          <w:u w:val="single"/>
          <w:lang w:val="en-US" w:eastAsia="zh-CN"/>
        </w:rPr>
        <w:t xml:space="preserve">  </w:t>
      </w:r>
      <w:r>
        <w:rPr>
          <w:rFonts w:hint="eastAsia" w:ascii="宋体" w:hAnsi="宋体" w:eastAsia="宋体" w:cs="宋体"/>
          <w:b/>
          <w:bCs/>
          <w:sz w:val="32"/>
          <w:szCs w:val="32"/>
          <w:highlight w:val="none"/>
          <w:u w:val="single"/>
        </w:rPr>
        <w:t xml:space="preserve">月  日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b/>
          <w:snapToGrid w:val="0"/>
          <w:sz w:val="32"/>
          <w:szCs w:val="32"/>
          <w:highlight w:val="none"/>
          <w:u w:val="single"/>
        </w:rPr>
      </w:pPr>
      <w:r>
        <w:rPr>
          <w:rFonts w:hint="eastAsia" w:ascii="宋体" w:hAnsi="宋体" w:eastAsia="宋体" w:cs="宋体"/>
          <w:sz w:val="32"/>
          <w:szCs w:val="32"/>
          <w:highlight w:val="none"/>
        </w:rPr>
        <w:t>合同工期总日历天数：</w:t>
      </w:r>
      <w:r>
        <w:rPr>
          <w:rFonts w:hint="eastAsia" w:ascii="宋体" w:hAnsi="宋体" w:eastAsia="宋体" w:cs="宋体"/>
          <w:sz w:val="32"/>
          <w:szCs w:val="32"/>
          <w:highlight w:val="none"/>
          <w:u w:val="single"/>
        </w:rPr>
        <w:t xml:space="preserve">    </w:t>
      </w:r>
      <w:r>
        <w:rPr>
          <w:rFonts w:hint="eastAsia" w:ascii="宋体" w:hAnsi="宋体" w:eastAsia="宋体" w:cs="宋体"/>
          <w:b/>
          <w:bCs/>
          <w:sz w:val="32"/>
          <w:szCs w:val="32"/>
          <w:highlight w:val="none"/>
          <w:u w:val="single"/>
        </w:rPr>
        <w:t>（以开工令为准）</w:t>
      </w:r>
    </w:p>
    <w:p>
      <w:pPr>
        <w:pageBreakBefore w:val="0"/>
        <w:widowControl w:val="0"/>
        <w:numPr>
          <w:ilvl w:val="0"/>
          <w:numId w:val="3"/>
        </w:numPr>
        <w:kinsoku/>
        <w:wordWrap/>
        <w:overflowPunct/>
        <w:topLinePunct w:val="0"/>
        <w:bidi w:val="0"/>
        <w:spacing w:line="560" w:lineRule="exact"/>
        <w:ind w:firstLine="643" w:firstLineChars="200"/>
        <w:textAlignment w:val="auto"/>
        <w:rPr>
          <w:rFonts w:hint="eastAsia" w:ascii="宋体" w:hAnsi="宋体" w:eastAsia="宋体" w:cs="宋体"/>
          <w:b/>
          <w:bCs/>
          <w:sz w:val="32"/>
          <w:szCs w:val="32"/>
          <w:highlight w:val="none"/>
          <w:u w:val="single"/>
        </w:rPr>
      </w:pPr>
      <w:r>
        <w:rPr>
          <w:rFonts w:hint="eastAsia" w:ascii="宋体" w:hAnsi="宋体" w:eastAsia="宋体" w:cs="宋体"/>
          <w:b/>
          <w:sz w:val="32"/>
          <w:szCs w:val="32"/>
          <w:highlight w:val="none"/>
        </w:rPr>
        <w:t>质量标准</w:t>
      </w:r>
      <w:r>
        <w:rPr>
          <w:rFonts w:hint="eastAsia" w:ascii="宋体" w:hAnsi="宋体" w:eastAsia="宋体" w:cs="宋体"/>
          <w:b/>
          <w:sz w:val="32"/>
          <w:szCs w:val="32"/>
          <w:highlight w:val="none"/>
          <w:lang w:val="en-US" w:eastAsia="zh-CN"/>
        </w:rPr>
        <w:t>和服务要求</w:t>
      </w:r>
      <w:r>
        <w:rPr>
          <w:rFonts w:hint="eastAsia" w:ascii="宋体" w:hAnsi="宋体" w:eastAsia="宋体" w:cs="宋体"/>
          <w:b/>
          <w:sz w:val="32"/>
          <w:szCs w:val="32"/>
          <w:highlight w:val="none"/>
        </w:rPr>
        <w:t>：</w:t>
      </w:r>
      <w:r>
        <w:rPr>
          <w:rFonts w:hint="eastAsia" w:ascii="宋体" w:hAnsi="宋体" w:eastAsia="宋体" w:cs="宋体"/>
          <w:b/>
          <w:bCs/>
          <w:sz w:val="32"/>
          <w:szCs w:val="32"/>
          <w:highlight w:val="none"/>
          <w:u w:val="single"/>
        </w:rPr>
        <w:t xml:space="preserve">        合格         </w:t>
      </w:r>
      <w:r>
        <w:rPr>
          <w:rFonts w:hint="eastAsia" w:ascii="宋体" w:hAnsi="宋体" w:eastAsia="宋体" w:cs="宋体"/>
          <w:b/>
          <w:bCs/>
          <w:sz w:val="32"/>
          <w:szCs w:val="32"/>
          <w:highlight w:val="none"/>
          <w:u w:val="single"/>
          <w:lang w:val="en-US" w:eastAsia="zh-CN"/>
        </w:rPr>
        <w:t xml:space="preserve"> </w:t>
      </w:r>
      <w:r>
        <w:rPr>
          <w:rFonts w:hint="eastAsia" w:ascii="宋体" w:hAnsi="宋体" w:eastAsia="宋体" w:cs="宋体"/>
          <w:b/>
          <w:bCs/>
          <w:sz w:val="32"/>
          <w:szCs w:val="32"/>
          <w:highlight w:val="none"/>
          <w:u w:val="single"/>
        </w:rPr>
        <w:t xml:space="preserve">  </w:t>
      </w:r>
    </w:p>
    <w:p>
      <w:pPr>
        <w:pageBreakBefore w:val="0"/>
        <w:widowControl w:val="0"/>
        <w:numPr>
          <w:ilvl w:val="0"/>
          <w:numId w:val="3"/>
        </w:numPr>
        <w:kinsoku/>
        <w:wordWrap/>
        <w:overflowPunct/>
        <w:topLinePunct w:val="0"/>
        <w:bidi w:val="0"/>
        <w:spacing w:line="560" w:lineRule="exact"/>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b/>
          <w:sz w:val="32"/>
          <w:szCs w:val="32"/>
          <w:highlight w:val="none"/>
        </w:rPr>
        <w:t>合同价款</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1.金额（大写</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b/>
          <w:bCs/>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 xml:space="preserve">（人民币）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 xml:space="preserve"> （小写） ￥:</w:t>
      </w:r>
      <w:r>
        <w:rPr>
          <w:rFonts w:hint="eastAsia" w:ascii="宋体" w:hAnsi="宋体" w:eastAsia="宋体" w:cs="宋体"/>
          <w:b/>
          <w:bCs/>
          <w:sz w:val="32"/>
          <w:szCs w:val="32"/>
          <w:highlight w:val="none"/>
          <w:u w:val="single"/>
        </w:rPr>
        <w:t xml:space="preserve"> </w:t>
      </w:r>
      <w:r>
        <w:rPr>
          <w:rFonts w:hint="eastAsia" w:ascii="宋体" w:hAnsi="宋体" w:eastAsia="宋体" w:cs="宋体"/>
          <w:b/>
          <w:bCs/>
          <w:sz w:val="32"/>
          <w:szCs w:val="32"/>
          <w:highlight w:val="none"/>
          <w:u w:val="single"/>
          <w:lang w:val="en-US" w:eastAsia="zh-CN"/>
        </w:rPr>
        <w:t xml:space="preserve">                </w:t>
      </w:r>
      <w:r>
        <w:rPr>
          <w:rFonts w:hint="eastAsia" w:ascii="宋体" w:hAnsi="宋体" w:eastAsia="宋体" w:cs="宋体"/>
          <w:b/>
          <w:bCs/>
          <w:sz w:val="32"/>
          <w:szCs w:val="32"/>
          <w:highlight w:val="none"/>
          <w:u w:val="single"/>
        </w:rPr>
        <w:t xml:space="preserve"> </w:t>
      </w:r>
      <w:r>
        <w:rPr>
          <w:rFonts w:hint="eastAsia" w:ascii="宋体" w:hAnsi="宋体" w:eastAsia="宋体" w:cs="宋体"/>
          <w:sz w:val="32"/>
          <w:szCs w:val="32"/>
          <w:highlight w:val="none"/>
        </w:rPr>
        <w:t>元</w:t>
      </w:r>
    </w:p>
    <w:p>
      <w:pPr>
        <w:pageBreakBefore w:val="0"/>
        <w:widowControl w:val="0"/>
        <w:numPr>
          <w:ilvl w:val="0"/>
          <w:numId w:val="4"/>
        </w:numPr>
        <w:kinsoku/>
        <w:wordWrap/>
        <w:overflowPunct/>
        <w:topLinePunct w:val="0"/>
        <w:bidi w:val="0"/>
        <w:spacing w:line="560" w:lineRule="exact"/>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sz w:val="32"/>
          <w:szCs w:val="32"/>
          <w:highlight w:val="none"/>
        </w:rPr>
        <w:t>合同价格形式：</w:t>
      </w:r>
      <w:r>
        <w:rPr>
          <w:rFonts w:hint="eastAsia" w:ascii="宋体" w:hAnsi="宋体" w:eastAsia="宋体" w:cs="宋体"/>
          <w:sz w:val="32"/>
          <w:szCs w:val="32"/>
          <w:highlight w:val="none"/>
          <w:u w:val="single"/>
        </w:rPr>
        <w:t>固定综合单价</w:t>
      </w:r>
      <w:r>
        <w:rPr>
          <w:rFonts w:hint="eastAsia" w:ascii="宋体" w:hAnsi="宋体" w:eastAsia="宋体" w:cs="宋体"/>
          <w:sz w:val="32"/>
          <w:szCs w:val="32"/>
          <w:highlight w:val="none"/>
          <w:u w:val="single"/>
          <w:lang w:val="en-US" w:eastAsia="zh-CN"/>
        </w:rPr>
        <w:t xml:space="preserve"> </w:t>
      </w:r>
    </w:p>
    <w:p>
      <w:pPr>
        <w:pageBreakBefore w:val="0"/>
        <w:widowControl w:val="0"/>
        <w:numPr>
          <w:ilvl w:val="0"/>
          <w:numId w:val="3"/>
        </w:numPr>
        <w:kinsoku/>
        <w:wordWrap/>
        <w:overflowPunct/>
        <w:topLinePunct w:val="0"/>
        <w:bidi w:val="0"/>
        <w:spacing w:line="560" w:lineRule="exact"/>
        <w:ind w:left="0" w:leftChars="0" w:firstLine="643"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组成合同的文件</w:t>
      </w:r>
    </w:p>
    <w:p>
      <w:pPr>
        <w:pageBreakBefore w:val="0"/>
        <w:widowControl w:val="0"/>
        <w:numPr>
          <w:ilvl w:val="0"/>
          <w:numId w:val="0"/>
        </w:numPr>
        <w:kinsoku/>
        <w:wordWrap/>
        <w:overflowPunct/>
        <w:topLinePunct w:val="0"/>
        <w:bidi w:val="0"/>
        <w:spacing w:line="560" w:lineRule="exact"/>
        <w:ind w:left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组成本合同的文件包括</w:t>
      </w:r>
    </w:p>
    <w:p>
      <w:pPr>
        <w:pageBreakBefore w:val="0"/>
        <w:widowControl w:val="0"/>
        <w:numPr>
          <w:ilvl w:val="0"/>
          <w:numId w:val="0"/>
        </w:numPr>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1、本合同协议书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2、中标通知书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3、投标书及其附件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4、本合同专用条款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5、本合同通用条款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6、标准、规范及有关技术文件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7、图纸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8、工程量清单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9、工程报价单或预算书</w:t>
      </w:r>
    </w:p>
    <w:p>
      <w:pPr>
        <w:pageBreakBefore w:val="0"/>
        <w:widowControl w:val="0"/>
        <w:kinsoku/>
        <w:wordWrap/>
        <w:overflowPunct/>
        <w:topLinePunct w:val="0"/>
        <w:bidi w:val="0"/>
        <w:spacing w:line="560" w:lineRule="exac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双方有关工程的洽商、变更等书面协议或文件视为本合同的组成部分。</w:t>
      </w:r>
    </w:p>
    <w:p>
      <w:pPr>
        <w:pageBreakBefore w:val="0"/>
        <w:widowControl w:val="0"/>
        <w:kinsoku/>
        <w:wordWrap/>
        <w:overflowPunct/>
        <w:topLinePunct w:val="0"/>
        <w:bidi w:val="0"/>
        <w:spacing w:line="560" w:lineRule="exact"/>
        <w:ind w:firstLine="643"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七、本协议书中有关词语含义与本合同第二部分《通用条款》中分别赋予它们的定义相同。</w:t>
      </w:r>
    </w:p>
    <w:p>
      <w:pPr>
        <w:pageBreakBefore w:val="0"/>
        <w:widowControl w:val="0"/>
        <w:kinsoku/>
        <w:wordWrap/>
        <w:overflowPunct/>
        <w:topLinePunct w:val="0"/>
        <w:bidi w:val="0"/>
        <w:spacing w:line="560" w:lineRule="exact"/>
        <w:ind w:firstLine="643"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八、承包人向</w:t>
      </w:r>
      <w:r>
        <w:rPr>
          <w:rFonts w:hint="eastAsia" w:ascii="宋体" w:hAnsi="宋体" w:eastAsia="宋体" w:cs="宋体"/>
          <w:b/>
          <w:sz w:val="32"/>
          <w:szCs w:val="32"/>
          <w:highlight w:val="none"/>
          <w:lang w:val="en-US" w:eastAsia="zh-CN"/>
        </w:rPr>
        <w:t>发包</w:t>
      </w:r>
      <w:r>
        <w:rPr>
          <w:rFonts w:hint="eastAsia" w:ascii="宋体" w:hAnsi="宋体" w:eastAsia="宋体" w:cs="宋体"/>
          <w:b/>
          <w:sz w:val="32"/>
          <w:szCs w:val="32"/>
          <w:highlight w:val="none"/>
        </w:rPr>
        <w:t>人承诺按照合同约定进行施工、竣工并在质量保修期内承担工程质量保修责任。</w:t>
      </w:r>
    </w:p>
    <w:p>
      <w:pPr>
        <w:pageBreakBefore w:val="0"/>
        <w:widowControl w:val="0"/>
        <w:kinsoku/>
        <w:wordWrap/>
        <w:overflowPunct/>
        <w:topLinePunct w:val="0"/>
        <w:bidi w:val="0"/>
        <w:spacing w:line="560" w:lineRule="exact"/>
        <w:ind w:firstLine="643"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九、</w:t>
      </w:r>
      <w:r>
        <w:rPr>
          <w:rFonts w:hint="eastAsia" w:ascii="宋体" w:hAnsi="宋体" w:eastAsia="宋体" w:cs="宋体"/>
          <w:b/>
          <w:sz w:val="32"/>
          <w:szCs w:val="32"/>
          <w:highlight w:val="none"/>
          <w:lang w:val="en-US" w:eastAsia="zh-CN"/>
        </w:rPr>
        <w:t>发包</w:t>
      </w:r>
      <w:r>
        <w:rPr>
          <w:rFonts w:hint="eastAsia" w:ascii="宋体" w:hAnsi="宋体" w:eastAsia="宋体" w:cs="宋体"/>
          <w:b/>
          <w:sz w:val="32"/>
          <w:szCs w:val="32"/>
          <w:highlight w:val="none"/>
        </w:rPr>
        <w:t>人向承包人承诺按照约定的期限和方式支付合同价款及其他应当支付的款项。</w:t>
      </w:r>
    </w:p>
    <w:p>
      <w:pPr>
        <w:pageBreakBefore w:val="0"/>
        <w:widowControl w:val="0"/>
        <w:kinsoku/>
        <w:wordWrap/>
        <w:overflowPunct/>
        <w:topLinePunct w:val="0"/>
        <w:bidi w:val="0"/>
        <w:spacing w:line="560" w:lineRule="exact"/>
        <w:ind w:firstLine="643"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十、合同生效</w:t>
      </w:r>
    </w:p>
    <w:p>
      <w:pPr>
        <w:pageBreakBefore w:val="0"/>
        <w:widowControl w:val="0"/>
        <w:kinsoku/>
        <w:wordWrap/>
        <w:overflowPunct/>
        <w:topLinePunct w:val="0"/>
        <w:bidi w:val="0"/>
        <w:spacing w:line="560" w:lineRule="exact"/>
        <w:ind w:firstLine="320" w:firstLineChars="1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合同订立时间：</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b/>
          <w:bCs/>
          <w:sz w:val="32"/>
          <w:szCs w:val="32"/>
          <w:highlight w:val="none"/>
          <w:u w:val="single"/>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日</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合同订立地点：</w:t>
      </w:r>
      <w:r>
        <w:rPr>
          <w:rFonts w:hint="eastAsia" w:ascii="宋体" w:hAnsi="宋体" w:eastAsia="宋体" w:cs="宋体"/>
          <w:sz w:val="32"/>
          <w:szCs w:val="32"/>
          <w:highlight w:val="none"/>
          <w:u w:val="single"/>
        </w:rPr>
        <w:t xml:space="preserve">      </w:t>
      </w:r>
      <w:r>
        <w:rPr>
          <w:rFonts w:hint="eastAsia" w:ascii="宋体" w:hAnsi="宋体" w:eastAsia="宋体" w:cs="宋体"/>
          <w:b/>
          <w:sz w:val="32"/>
          <w:szCs w:val="32"/>
          <w:highlight w:val="none"/>
          <w:u w:val="single"/>
        </w:rPr>
        <w:t xml:space="preserve"> </w:t>
      </w:r>
      <w:r>
        <w:rPr>
          <w:rFonts w:hint="eastAsia" w:ascii="宋体" w:hAnsi="宋体" w:eastAsia="宋体" w:cs="宋体"/>
          <w:sz w:val="32"/>
          <w:szCs w:val="32"/>
          <w:highlight w:val="none"/>
          <w:u w:val="single"/>
        </w:rPr>
        <w:t xml:space="preserve">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b/>
          <w:bCs/>
          <w:sz w:val="32"/>
          <w:szCs w:val="32"/>
          <w:highlight w:val="none"/>
        </w:rPr>
      </w:pPr>
      <w:r>
        <w:rPr>
          <w:rFonts w:hint="eastAsia" w:ascii="宋体" w:hAnsi="宋体" w:eastAsia="宋体" w:cs="宋体"/>
          <w:sz w:val="32"/>
          <w:szCs w:val="32"/>
          <w:highlight w:val="none"/>
        </w:rPr>
        <w:t>本合同双方约定</w:t>
      </w:r>
      <w:r>
        <w:rPr>
          <w:rFonts w:hint="eastAsia" w:ascii="宋体" w:hAnsi="宋体" w:eastAsia="宋体" w:cs="宋体"/>
          <w:sz w:val="32"/>
          <w:szCs w:val="32"/>
          <w:highlight w:val="none"/>
          <w:u w:val="single"/>
        </w:rPr>
        <w:t xml:space="preserve">       </w:t>
      </w:r>
      <w:r>
        <w:rPr>
          <w:rFonts w:hint="eastAsia" w:ascii="宋体" w:hAnsi="宋体" w:eastAsia="宋体" w:cs="宋体"/>
          <w:b/>
          <w:sz w:val="32"/>
          <w:szCs w:val="32"/>
          <w:highlight w:val="none"/>
          <w:u w:val="single"/>
        </w:rPr>
        <w:t>签字盖章</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bookmarkStart w:id="22" w:name="_Toc2328"/>
      <w:bookmarkStart w:id="23" w:name="_Toc14206"/>
      <w:bookmarkStart w:id="24" w:name="_Toc2641"/>
      <w:bookmarkStart w:id="25" w:name="_Toc11076"/>
    </w:p>
    <w:p>
      <w:pPr>
        <w:keepNext/>
        <w:keepLines/>
        <w:pageBreakBefore w:val="0"/>
        <w:widowControl w:val="0"/>
        <w:kinsoku/>
        <w:wordWrap/>
        <w:overflowPunct/>
        <w:topLinePunct w:val="0"/>
        <w:bidi w:val="0"/>
        <w:spacing w:before="260" w:after="260" w:line="560" w:lineRule="exact"/>
        <w:ind w:firstLine="643" w:firstLineChars="200"/>
        <w:jc w:val="both"/>
        <w:textAlignment w:val="auto"/>
        <w:outlineLvl w:val="1"/>
        <w:rPr>
          <w:rFonts w:hint="eastAsia" w:ascii="宋体" w:hAnsi="宋体" w:eastAsia="宋体" w:cs="宋体"/>
          <w:b/>
          <w:bCs/>
          <w:sz w:val="32"/>
          <w:szCs w:val="32"/>
          <w:highlight w:val="none"/>
        </w:rPr>
        <w:sectPr>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cols w:space="720" w:num="1"/>
          <w:rtlGutter w:val="0"/>
          <w:docGrid w:linePitch="360" w:charSpace="0"/>
        </w:sectPr>
      </w:pPr>
    </w:p>
    <w:p>
      <w:pPr>
        <w:keepNext/>
        <w:keepLines/>
        <w:pageBreakBefore w:val="0"/>
        <w:widowControl w:val="0"/>
        <w:kinsoku/>
        <w:wordWrap/>
        <w:overflowPunct/>
        <w:topLinePunct w:val="0"/>
        <w:bidi w:val="0"/>
        <w:spacing w:before="260" w:after="260" w:line="560" w:lineRule="exact"/>
        <w:ind w:firstLine="643" w:firstLineChars="200"/>
        <w:jc w:val="both"/>
        <w:textAlignment w:val="auto"/>
        <w:outlineLvl w:val="1"/>
        <w:rPr>
          <w:rFonts w:hint="eastAsia" w:ascii="宋体" w:hAnsi="宋体" w:eastAsia="宋体" w:cs="宋体"/>
          <w:b/>
          <w:bCs/>
          <w:sz w:val="32"/>
          <w:szCs w:val="32"/>
          <w:highlight w:val="none"/>
        </w:rPr>
      </w:pPr>
      <w:bookmarkStart w:id="26" w:name="_Toc7435"/>
      <w:bookmarkStart w:id="27" w:name="_Toc22776"/>
      <w:bookmarkStart w:id="28" w:name="_Toc7552"/>
      <w:bookmarkStart w:id="29" w:name="_Toc8166"/>
      <w:r>
        <w:rPr>
          <w:rFonts w:hint="eastAsia" w:ascii="宋体" w:hAnsi="宋体" w:eastAsia="宋体" w:cs="宋体"/>
          <w:b/>
          <w:bCs/>
          <w:sz w:val="32"/>
          <w:szCs w:val="32"/>
          <w:highlight w:val="none"/>
        </w:rPr>
        <w:t>第二部分 通用条款</w:t>
      </w:r>
      <w:bookmarkEnd w:id="22"/>
      <w:bookmarkEnd w:id="23"/>
      <w:bookmarkEnd w:id="24"/>
      <w:bookmarkEnd w:id="25"/>
      <w:bookmarkEnd w:id="26"/>
      <w:bookmarkEnd w:id="27"/>
      <w:bookmarkEnd w:id="28"/>
      <w:bookmarkEnd w:id="29"/>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b/>
          <w:bCs/>
          <w:sz w:val="32"/>
          <w:szCs w:val="32"/>
          <w:highlight w:val="none"/>
        </w:rPr>
      </w:pPr>
      <w:r>
        <w:rPr>
          <w:rFonts w:hint="eastAsia" w:ascii="宋体" w:hAnsi="宋体" w:eastAsia="宋体" w:cs="宋体"/>
          <w:sz w:val="32"/>
          <w:szCs w:val="32"/>
          <w:highlight w:val="none"/>
        </w:rPr>
        <w:t>此部分采用《建设工程施工合同》范本</w:t>
      </w:r>
      <w:r>
        <w:rPr>
          <w:rFonts w:hint="eastAsia" w:ascii="宋体" w:hAnsi="宋体" w:eastAsia="宋体" w:cs="宋体"/>
          <w:bCs/>
          <w:color w:val="000000"/>
          <w:sz w:val="32"/>
          <w:szCs w:val="32"/>
          <w:highlight w:val="none"/>
        </w:rPr>
        <w:t>（GF—2017—0201）</w:t>
      </w:r>
      <w:r>
        <w:rPr>
          <w:rFonts w:hint="eastAsia" w:ascii="宋体" w:hAnsi="宋体" w:eastAsia="宋体" w:cs="宋体"/>
          <w:sz w:val="32"/>
          <w:szCs w:val="32"/>
          <w:highlight w:val="none"/>
        </w:rPr>
        <w:t xml:space="preserve">中的《通用条款》 </w:t>
      </w:r>
      <w:r>
        <w:rPr>
          <w:rFonts w:hint="eastAsia" w:ascii="宋体" w:hAnsi="宋体" w:eastAsia="宋体" w:cs="宋体"/>
          <w:b/>
          <w:bCs/>
          <w:sz w:val="32"/>
          <w:szCs w:val="32"/>
          <w:highlight w:val="none"/>
        </w:rPr>
        <w:t>（略）</w:t>
      </w:r>
    </w:p>
    <w:p>
      <w:pPr>
        <w:keepNext/>
        <w:keepLines/>
        <w:pageBreakBefore w:val="0"/>
        <w:widowControl w:val="0"/>
        <w:kinsoku/>
        <w:wordWrap/>
        <w:overflowPunct/>
        <w:topLinePunct w:val="0"/>
        <w:bidi w:val="0"/>
        <w:spacing w:before="260" w:after="260" w:line="560" w:lineRule="exact"/>
        <w:ind w:firstLine="643" w:firstLineChars="200"/>
        <w:jc w:val="center"/>
        <w:textAlignment w:val="auto"/>
        <w:outlineLvl w:val="1"/>
        <w:rPr>
          <w:rFonts w:hint="eastAsia" w:ascii="宋体" w:hAnsi="宋体" w:eastAsia="宋体" w:cs="宋体"/>
          <w:b/>
          <w:bCs/>
          <w:sz w:val="32"/>
          <w:szCs w:val="32"/>
          <w:highlight w:val="none"/>
        </w:rPr>
        <w:sectPr>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cols w:space="720" w:num="1"/>
          <w:rtlGutter w:val="0"/>
          <w:docGrid w:linePitch="360" w:charSpace="0"/>
        </w:sectPr>
      </w:pPr>
      <w:bookmarkStart w:id="30" w:name="_Toc8261"/>
      <w:bookmarkStart w:id="31" w:name="_Toc19250"/>
      <w:bookmarkStart w:id="32" w:name="_Toc513455862"/>
      <w:bookmarkStart w:id="33" w:name="_Toc26224"/>
      <w:bookmarkStart w:id="34" w:name="_Toc495310169"/>
      <w:bookmarkStart w:id="35" w:name="_Toc16939"/>
      <w:bookmarkStart w:id="36" w:name="_Toc351203632"/>
      <w:bookmarkStart w:id="37" w:name="_Toc529465778"/>
    </w:p>
    <w:p>
      <w:pPr>
        <w:keepNext/>
        <w:keepLines/>
        <w:pageBreakBefore w:val="0"/>
        <w:widowControl w:val="0"/>
        <w:kinsoku/>
        <w:wordWrap/>
        <w:overflowPunct/>
        <w:topLinePunct w:val="0"/>
        <w:bidi w:val="0"/>
        <w:spacing w:before="260" w:after="260" w:line="560" w:lineRule="exact"/>
        <w:ind w:firstLine="643" w:firstLineChars="200"/>
        <w:jc w:val="center"/>
        <w:textAlignment w:val="auto"/>
        <w:outlineLvl w:val="1"/>
        <w:rPr>
          <w:rFonts w:hint="eastAsia" w:ascii="宋体" w:hAnsi="宋体" w:eastAsia="宋体" w:cs="宋体"/>
          <w:b/>
          <w:bCs/>
          <w:sz w:val="32"/>
          <w:szCs w:val="32"/>
          <w:highlight w:val="none"/>
        </w:rPr>
      </w:pPr>
      <w:bookmarkStart w:id="38" w:name="_Toc9819"/>
      <w:bookmarkStart w:id="39" w:name="_Toc13022"/>
      <w:bookmarkStart w:id="40" w:name="_Toc28926"/>
      <w:bookmarkStart w:id="41" w:name="_Toc23390"/>
      <w:r>
        <w:rPr>
          <w:rFonts w:hint="eastAsia" w:ascii="宋体" w:hAnsi="宋体" w:eastAsia="宋体" w:cs="宋体"/>
          <w:b/>
          <w:bCs/>
          <w:sz w:val="32"/>
          <w:szCs w:val="32"/>
          <w:highlight w:val="none"/>
        </w:rPr>
        <w:t>第三部分 专用合同条款</w:t>
      </w:r>
      <w:bookmarkEnd w:id="30"/>
      <w:bookmarkEnd w:id="31"/>
      <w:bookmarkEnd w:id="32"/>
      <w:bookmarkEnd w:id="33"/>
      <w:bookmarkEnd w:id="34"/>
      <w:bookmarkEnd w:id="35"/>
      <w:bookmarkEnd w:id="36"/>
      <w:bookmarkEnd w:id="37"/>
      <w:bookmarkEnd w:id="38"/>
      <w:bookmarkEnd w:id="39"/>
      <w:bookmarkEnd w:id="40"/>
      <w:bookmarkEnd w:id="41"/>
    </w:p>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bookmarkStart w:id="42" w:name="_Toc351203633"/>
      <w:r>
        <w:rPr>
          <w:rFonts w:hint="eastAsia" w:ascii="宋体" w:hAnsi="宋体" w:eastAsia="宋体" w:cs="宋体"/>
          <w:b/>
          <w:bCs/>
          <w:sz w:val="32"/>
          <w:szCs w:val="32"/>
          <w:highlight w:val="none"/>
        </w:rPr>
        <w:t>1</w:t>
      </w:r>
      <w:bookmarkStart w:id="43" w:name="_Toc296944495"/>
      <w:bookmarkStart w:id="44" w:name="_Toc292559361"/>
      <w:bookmarkStart w:id="45" w:name="_Toc297048342"/>
      <w:bookmarkStart w:id="46" w:name="_Toc296891196"/>
      <w:bookmarkStart w:id="47" w:name="_Toc296890984"/>
      <w:bookmarkStart w:id="48" w:name="_Toc297120456"/>
      <w:bookmarkStart w:id="49" w:name="_Toc292559866"/>
      <w:bookmarkStart w:id="50" w:name="_Toc296346657"/>
      <w:bookmarkStart w:id="51" w:name="_Toc296347155"/>
      <w:bookmarkStart w:id="52" w:name="_Toc296503156"/>
      <w:r>
        <w:rPr>
          <w:rFonts w:hint="eastAsia" w:ascii="宋体" w:hAnsi="宋体" w:eastAsia="宋体" w:cs="宋体"/>
          <w:b/>
          <w:bCs/>
          <w:sz w:val="32"/>
          <w:szCs w:val="32"/>
          <w:highlight w:val="none"/>
        </w:rPr>
        <w:t>. 一般约定</w:t>
      </w:r>
      <w:bookmarkEnd w:id="42"/>
    </w:p>
    <w:bookmarkEnd w:id="43"/>
    <w:bookmarkEnd w:id="44"/>
    <w:bookmarkEnd w:id="45"/>
    <w:bookmarkEnd w:id="46"/>
    <w:bookmarkEnd w:id="47"/>
    <w:bookmarkEnd w:id="48"/>
    <w:bookmarkEnd w:id="49"/>
    <w:bookmarkEnd w:id="50"/>
    <w:bookmarkEnd w:id="51"/>
    <w:bookmarkEnd w:id="52"/>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1.1 词语定义</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1.1.1合同</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1.1.2其他合同文件包括：</w:t>
      </w:r>
      <w:r>
        <w:rPr>
          <w:rFonts w:hint="eastAsia" w:ascii="宋体" w:hAnsi="宋体" w:eastAsia="宋体" w:cs="宋体"/>
          <w:sz w:val="32"/>
          <w:szCs w:val="32"/>
          <w:highlight w:val="none"/>
          <w:u w:val="single"/>
        </w:rPr>
        <w:t>招标文件、答疑纪要、工程量清单及编制说明、投标文件及双方其他书面约定</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1.1.</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 xml:space="preserve"> 工程和设备</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1.1.</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.1 作为施工现场组成部分的其他场所包括：</w:t>
      </w:r>
      <w:r>
        <w:rPr>
          <w:rFonts w:hint="eastAsia" w:ascii="宋体" w:hAnsi="宋体" w:eastAsia="宋体" w:cs="宋体"/>
          <w:sz w:val="32"/>
          <w:szCs w:val="32"/>
          <w:highlight w:val="none"/>
          <w:u w:val="single"/>
        </w:rPr>
        <w:t>现场临时办公及施工场地</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1.1.</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.2 永久占地包括：</w:t>
      </w:r>
      <w:r>
        <w:rPr>
          <w:rFonts w:hint="eastAsia" w:ascii="宋体" w:hAnsi="宋体" w:eastAsia="宋体" w:cs="宋体"/>
          <w:sz w:val="32"/>
          <w:szCs w:val="32"/>
          <w:highlight w:val="none"/>
          <w:u w:val="single"/>
        </w:rPr>
        <w:t>现场临时办公及施工场地</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1.1.</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.3 临时占地包括：</w:t>
      </w:r>
      <w:r>
        <w:rPr>
          <w:rFonts w:hint="eastAsia" w:ascii="宋体" w:hAnsi="宋体" w:eastAsia="宋体" w:cs="宋体"/>
          <w:sz w:val="32"/>
          <w:szCs w:val="32"/>
          <w:highlight w:val="none"/>
          <w:u w:val="single"/>
        </w:rPr>
        <w:t>合同履行中确定</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1.2法律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适用于合同的其他规范性文件：</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《中华人民共和国</w:t>
      </w:r>
      <w:r>
        <w:rPr>
          <w:rFonts w:hint="eastAsia" w:ascii="宋体" w:hAnsi="宋体" w:eastAsia="宋体" w:cs="宋体"/>
          <w:sz w:val="32"/>
          <w:szCs w:val="32"/>
          <w:highlight w:val="none"/>
          <w:u w:val="single"/>
          <w:lang w:val="en-US" w:eastAsia="zh-CN"/>
        </w:rPr>
        <w:t>民法典</w:t>
      </w:r>
      <w:r>
        <w:rPr>
          <w:rFonts w:hint="eastAsia" w:ascii="宋体" w:hAnsi="宋体" w:eastAsia="宋体" w:cs="宋体"/>
          <w:sz w:val="32"/>
          <w:szCs w:val="32"/>
          <w:highlight w:val="none"/>
          <w:u w:val="single"/>
        </w:rPr>
        <w:t>》</w:t>
      </w:r>
      <w:r>
        <w:rPr>
          <w:rFonts w:hint="eastAsia" w:ascii="宋体" w:hAnsi="宋体" w:eastAsia="宋体" w:cs="宋体"/>
          <w:sz w:val="32"/>
          <w:szCs w:val="32"/>
          <w:highlight w:val="none"/>
          <w:u w:val="single"/>
          <w:lang w:eastAsia="zh-CN"/>
        </w:rPr>
        <w:t>、</w:t>
      </w:r>
      <w:r>
        <w:rPr>
          <w:rFonts w:hint="eastAsia" w:ascii="宋体" w:hAnsi="宋体" w:eastAsia="宋体" w:cs="宋体"/>
          <w:sz w:val="32"/>
          <w:szCs w:val="32"/>
          <w:highlight w:val="none"/>
          <w:u w:val="single"/>
        </w:rPr>
        <w:t>《中华人民共和国建筑法》、《中华人民共和国招标投标法》、《中华人民共和国招标投标法实施条例》、《中华人民共和国担保法》、《建设工程质量管理条例》、《建设工程安全生产管理条例》</w:t>
      </w:r>
      <w:r>
        <w:rPr>
          <w:rFonts w:hint="eastAsia" w:ascii="宋体" w:hAnsi="宋体" w:eastAsia="宋体" w:cs="宋体"/>
          <w:sz w:val="32"/>
          <w:szCs w:val="32"/>
          <w:highlight w:val="none"/>
          <w:u w:val="single"/>
          <w:lang w:eastAsia="zh-CN"/>
        </w:rPr>
        <w:t>、《中华人民共和国</w:t>
      </w:r>
      <w:r>
        <w:rPr>
          <w:rFonts w:hint="eastAsia" w:ascii="宋体" w:hAnsi="宋体" w:eastAsia="宋体" w:cs="宋体"/>
          <w:sz w:val="32"/>
          <w:szCs w:val="32"/>
          <w:highlight w:val="none"/>
          <w:u w:val="single"/>
          <w:lang w:val="en-US" w:eastAsia="zh-CN"/>
        </w:rPr>
        <w:t>环境保护法</w:t>
      </w:r>
      <w:r>
        <w:rPr>
          <w:rFonts w:hint="eastAsia" w:ascii="宋体" w:hAnsi="宋体" w:eastAsia="宋体" w:cs="宋体"/>
          <w:sz w:val="32"/>
          <w:szCs w:val="32"/>
          <w:highlight w:val="none"/>
          <w:u w:val="single"/>
          <w:lang w:eastAsia="zh-CN"/>
        </w:rPr>
        <w:t>》</w:t>
      </w:r>
      <w:r>
        <w:rPr>
          <w:rFonts w:hint="eastAsia" w:ascii="宋体" w:hAnsi="宋体" w:eastAsia="宋体" w:cs="宋体"/>
          <w:sz w:val="32"/>
          <w:szCs w:val="32"/>
          <w:highlight w:val="none"/>
          <w:u w:val="single"/>
        </w:rPr>
        <w:t>及其他相关国家和地方法律、法规、规章</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1.3 标准和规范</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1.3.1适用于工程的标准规范包括：</w:t>
      </w:r>
      <w:r>
        <w:rPr>
          <w:rFonts w:hint="eastAsia" w:ascii="宋体" w:hAnsi="宋体" w:eastAsia="宋体" w:cs="宋体"/>
          <w:sz w:val="32"/>
          <w:szCs w:val="32"/>
          <w:highlight w:val="none"/>
          <w:u w:val="single"/>
        </w:rPr>
        <w:t>有关建设工程的标准和规范、规程，建筑质量验收评定标准，施工图纸以及设计文件所载明的标准、规范、规程</w:t>
      </w:r>
      <w:r>
        <w:rPr>
          <w:rFonts w:hint="eastAsia" w:ascii="宋体" w:hAnsi="宋体" w:eastAsia="宋体" w:cs="宋体"/>
          <w:sz w:val="32"/>
          <w:szCs w:val="32"/>
          <w:highlight w:val="none"/>
          <w:u w:val="single"/>
          <w:lang w:val="en-US" w:eastAsia="zh-CN"/>
        </w:rPr>
        <w:t>等</w:t>
      </w:r>
      <w:r>
        <w:rPr>
          <w:rFonts w:hint="eastAsia" w:ascii="宋体" w:hAnsi="宋体" w:eastAsia="宋体" w:cs="宋体"/>
          <w:sz w:val="32"/>
          <w:szCs w:val="32"/>
          <w:highlight w:val="none"/>
          <w:u w:val="singl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1.4 合同文件的优先顺序</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合同文件组成及优先顺序为：</w:t>
      </w:r>
      <w:r>
        <w:rPr>
          <w:rFonts w:hint="eastAsia" w:ascii="宋体" w:hAnsi="宋体" w:eastAsia="宋体" w:cs="宋体"/>
          <w:sz w:val="32"/>
          <w:szCs w:val="32"/>
          <w:highlight w:val="none"/>
          <w:u w:val="single"/>
        </w:rPr>
        <w:t>（1）合同协议书；（2）中标通知书；（3）投标函及其附录；（4）专用合同条款及其附件；（5）通用合同条款；（6）技术标准和要求；（7）已标价工程量清单或预算书；（8）图纸；（9）其他文件</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1.5 图纸和承包人文件</w:t>
      </w:r>
      <w:r>
        <w:rPr>
          <w:rFonts w:hint="eastAsia" w:ascii="宋体" w:hAnsi="宋体" w:eastAsia="宋体" w:cs="宋体"/>
          <w:sz w:val="32"/>
          <w:szCs w:val="32"/>
          <w:highlight w:val="none"/>
        </w:rPr>
        <w:tab/>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1.5.1 图纸的提供</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发包人向承包人提供图纸的期限：</w:t>
      </w:r>
      <w:r>
        <w:rPr>
          <w:rFonts w:hint="eastAsia" w:ascii="宋体" w:hAnsi="宋体" w:eastAsia="宋体" w:cs="宋体"/>
          <w:sz w:val="32"/>
          <w:szCs w:val="32"/>
          <w:highlight w:val="none"/>
          <w:u w:val="single"/>
        </w:rPr>
        <w:t>/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发包人向承包人提供图纸的数量：</w:t>
      </w:r>
      <w:r>
        <w:rPr>
          <w:rFonts w:hint="eastAsia" w:ascii="宋体" w:hAnsi="宋体" w:eastAsia="宋体" w:cs="宋体"/>
          <w:sz w:val="32"/>
          <w:szCs w:val="32"/>
          <w:highlight w:val="none"/>
          <w:u w:val="single"/>
        </w:rPr>
        <w:t>/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发包人向承包人提供图纸的内容：</w:t>
      </w:r>
      <w:r>
        <w:rPr>
          <w:rFonts w:hint="eastAsia" w:ascii="宋体" w:hAnsi="宋体" w:eastAsia="宋体" w:cs="宋体"/>
          <w:sz w:val="32"/>
          <w:szCs w:val="32"/>
          <w:highlight w:val="none"/>
          <w:u w:val="single"/>
        </w:rPr>
        <w:t>/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1.5.2 承包人文件</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需要由承包人提供的文件，包括：</w:t>
      </w:r>
      <w:r>
        <w:rPr>
          <w:rFonts w:hint="eastAsia" w:ascii="宋体" w:hAnsi="宋体" w:eastAsia="宋体" w:cs="宋体"/>
          <w:sz w:val="32"/>
          <w:szCs w:val="32"/>
          <w:highlight w:val="none"/>
          <w:u w:val="singl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1.5.3 现场图纸准备</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关于现场图纸准备的约定</w:t>
      </w:r>
      <w:bookmarkStart w:id="53" w:name="EBbaaf638e2732405bafca1782d48843c5"/>
    </w:p>
    <w:bookmarkEnd w:id="53"/>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承包人应在施工现场另外保存一套完整的图纸和承包人文件，供发包人及有关人员进行工程检查时使用。</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1.6 联络</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1.6.1发包人和承包人应当在</w:t>
      </w:r>
      <w:r>
        <w:rPr>
          <w:rFonts w:hint="eastAsia" w:ascii="宋体" w:hAnsi="宋体" w:eastAsia="宋体" w:cs="宋体"/>
          <w:sz w:val="32"/>
          <w:szCs w:val="32"/>
          <w:highlight w:val="none"/>
          <w:u w:val="single"/>
        </w:rPr>
        <w:t>7</w:t>
      </w:r>
      <w:r>
        <w:rPr>
          <w:rFonts w:hint="eastAsia" w:ascii="宋体" w:hAnsi="宋体" w:eastAsia="宋体" w:cs="宋体"/>
          <w:sz w:val="32"/>
          <w:szCs w:val="32"/>
          <w:highlight w:val="none"/>
        </w:rPr>
        <w:t>天内将与合同有关的通知、批准、证明、证书、指示、指令、要求、请求、同意、意见、确定和决定等书面函件送达对方当事人。</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1.6.2 发包人接收文件的地点：</w:t>
      </w:r>
      <w:bookmarkStart w:id="54" w:name="EB25030d43e23a49218896c1b06ec48db1"/>
      <w:r>
        <w:rPr>
          <w:rFonts w:hint="eastAsia" w:ascii="宋体" w:hAnsi="宋体" w:eastAsia="宋体" w:cs="宋体"/>
          <w:sz w:val="32"/>
          <w:szCs w:val="32"/>
          <w:highlight w:val="none"/>
          <w:u w:val="single"/>
        </w:rPr>
        <w:t>现场办公室</w:t>
      </w:r>
      <w:bookmarkEnd w:id="54"/>
      <w:r>
        <w:rPr>
          <w:rFonts w:hint="eastAsia" w:ascii="宋体" w:hAnsi="宋体" w:eastAsia="宋体" w:cs="宋体"/>
          <w:sz w:val="32"/>
          <w:szCs w:val="32"/>
          <w:highlight w:val="none"/>
          <w:u w:val="singl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发包人指定的接收人为：</w:t>
      </w:r>
      <w:r>
        <w:rPr>
          <w:rFonts w:hint="eastAsia" w:ascii="宋体" w:hAnsi="宋体" w:eastAsia="宋体" w:cs="宋体"/>
          <w:sz w:val="32"/>
          <w:szCs w:val="32"/>
          <w:highlight w:val="none"/>
          <w:u w:val="single"/>
        </w:rPr>
        <w:t>发包人代表或其授权代表。</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承包人接收文件的地点：</w:t>
      </w:r>
      <w:r>
        <w:rPr>
          <w:rFonts w:hint="eastAsia" w:ascii="宋体" w:hAnsi="宋体" w:eastAsia="宋体" w:cs="宋体"/>
          <w:sz w:val="32"/>
          <w:szCs w:val="32"/>
          <w:highlight w:val="none"/>
          <w:u w:val="single"/>
        </w:rPr>
        <w:t>现场办公室；</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承包人指定的接收人为：</w:t>
      </w:r>
      <w:r>
        <w:rPr>
          <w:rFonts w:hint="eastAsia" w:ascii="宋体" w:hAnsi="宋体" w:eastAsia="宋体" w:cs="宋体"/>
          <w:sz w:val="32"/>
          <w:szCs w:val="32"/>
          <w:highlight w:val="none"/>
          <w:u w:val="single"/>
        </w:rPr>
        <w:t>项目负责人或其授权代表。</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1.7 交通运输</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w:t>
      </w:r>
      <w:bookmarkStart w:id="55" w:name="_Toc300934943"/>
      <w:bookmarkStart w:id="56" w:name="_Toc304295521"/>
      <w:bookmarkStart w:id="57" w:name="_Toc303539100"/>
      <w:bookmarkStart w:id="58" w:name="_Toc318581155"/>
      <w:bookmarkStart w:id="59" w:name="_Toc312677986"/>
      <w:r>
        <w:rPr>
          <w:rFonts w:hint="eastAsia" w:ascii="宋体" w:hAnsi="宋体" w:eastAsia="宋体" w:cs="宋体"/>
          <w:sz w:val="32"/>
          <w:szCs w:val="32"/>
          <w:highlight w:val="none"/>
        </w:rPr>
        <w:t>.7.1 出入现场的权利</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关于出入现场的权利的约定：</w:t>
      </w:r>
      <w:r>
        <w:rPr>
          <w:rFonts w:hint="eastAsia" w:ascii="宋体" w:hAnsi="宋体" w:eastAsia="宋体" w:cs="宋体"/>
          <w:sz w:val="32"/>
          <w:szCs w:val="32"/>
          <w:highlight w:val="none"/>
          <w:u w:val="single"/>
        </w:rPr>
        <w:t>按发包人要求执行。</w:t>
      </w:r>
    </w:p>
    <w:bookmarkEnd w:id="55"/>
    <w:bookmarkEnd w:id="56"/>
    <w:bookmarkEnd w:id="57"/>
    <w:bookmarkEnd w:id="58"/>
    <w:bookmarkEnd w:id="59"/>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w:t>
      </w:r>
      <w:bookmarkStart w:id="60" w:name="_Toc303539101"/>
      <w:bookmarkStart w:id="61" w:name="_Toc304295522"/>
      <w:bookmarkStart w:id="62" w:name="_Toc300934944"/>
      <w:bookmarkStart w:id="63" w:name="_Toc312677987"/>
      <w:bookmarkStart w:id="64" w:name="_Toc318581156"/>
      <w:r>
        <w:rPr>
          <w:rFonts w:hint="eastAsia" w:ascii="宋体" w:hAnsi="宋体" w:eastAsia="宋体" w:cs="宋体"/>
          <w:sz w:val="32"/>
          <w:szCs w:val="32"/>
          <w:highlight w:val="none"/>
        </w:rPr>
        <w:t>.7.2 场内交通</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关于场外交通和场内交通的边界的约定：</w:t>
      </w:r>
      <w:r>
        <w:rPr>
          <w:rFonts w:hint="eastAsia" w:ascii="宋体" w:hAnsi="宋体" w:eastAsia="宋体" w:cs="宋体"/>
          <w:sz w:val="32"/>
          <w:szCs w:val="32"/>
          <w:highlight w:val="none"/>
          <w:u w:val="single"/>
        </w:rPr>
        <w:t xml:space="preserve">/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关于发包人向承包人免费提供满足工程施工需要的场内道路和交通设施的约定：</w:t>
      </w:r>
      <w:bookmarkEnd w:id="60"/>
      <w:bookmarkEnd w:id="61"/>
      <w:bookmarkEnd w:id="62"/>
      <w:bookmarkEnd w:id="63"/>
      <w:bookmarkEnd w:id="64"/>
      <w:bookmarkStart w:id="65" w:name="_Toc318581157"/>
      <w:r>
        <w:rPr>
          <w:rFonts w:hint="eastAsia" w:ascii="宋体" w:hAnsi="宋体" w:eastAsia="宋体" w:cs="宋体"/>
          <w:sz w:val="32"/>
          <w:szCs w:val="32"/>
          <w:highlight w:val="none"/>
          <w:u w:val="single"/>
        </w:rPr>
        <w:t>临时水源、电源；临时用水、用电、施工场地均由承包人自行解决，费用自理。</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1.7.3超大件和超重件的运输</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运输超大件或超重件所需的道路和桥梁临时加固改造费用和其他有关费用由</w:t>
      </w:r>
      <w:r>
        <w:rPr>
          <w:rFonts w:hint="eastAsia" w:ascii="宋体" w:hAnsi="宋体" w:eastAsia="宋体" w:cs="宋体"/>
          <w:sz w:val="32"/>
          <w:szCs w:val="32"/>
          <w:highlight w:val="none"/>
          <w:u w:val="single"/>
        </w:rPr>
        <w:t xml:space="preserve"> 承包人 </w:t>
      </w:r>
      <w:r>
        <w:rPr>
          <w:rFonts w:hint="eastAsia" w:ascii="宋体" w:hAnsi="宋体" w:eastAsia="宋体" w:cs="宋体"/>
          <w:sz w:val="32"/>
          <w:szCs w:val="32"/>
          <w:highlight w:val="none"/>
        </w:rPr>
        <w:t>承担。</w:t>
      </w:r>
    </w:p>
    <w:bookmarkEnd w:id="65"/>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1.8 知识产权</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1.8.1关于发包人提供给承包人的图纸、发包人为实施工程自行编制或委托编制的技术规范以及反映发包人关于合同要求或其他类似性质的文件的著作权的归属：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32"/>
          <w:szCs w:val="32"/>
          <w:highlight w:val="none"/>
          <w:u w:val="single"/>
        </w:rPr>
        <w:t>归发包人所有</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关于发包人提供的上述文件的使用限制的要求：</w:t>
      </w:r>
      <w:r>
        <w:rPr>
          <w:rFonts w:hint="eastAsia" w:ascii="宋体" w:hAnsi="宋体" w:eastAsia="宋体" w:cs="宋体"/>
          <w:sz w:val="32"/>
          <w:szCs w:val="32"/>
          <w:highlight w:val="none"/>
          <w:u w:val="single"/>
        </w:rPr>
        <w:t>由发包人提供的图纸和其他文件未经发包人许可，承包人不得用于或转给第三方，为此承包人自愿按国家有关法律法规和政策及本合同约定履行保密义务，如果对公开有关信息的必要性产生争执，则以发包人的决定为准</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1.8.2 关于承包人为实施工程所编制文件的著作权的归属：</w:t>
      </w:r>
      <w:r>
        <w:rPr>
          <w:rFonts w:hint="eastAsia" w:ascii="宋体" w:hAnsi="宋体" w:eastAsia="宋体" w:cs="宋体"/>
          <w:sz w:val="32"/>
          <w:szCs w:val="32"/>
          <w:highlight w:val="none"/>
          <w:u w:val="single"/>
        </w:rPr>
        <w:t>归承包人所有。</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关于承包人提供的上述文件的使用限制的要求：</w:t>
      </w:r>
      <w:r>
        <w:rPr>
          <w:rFonts w:hint="eastAsia" w:ascii="宋体" w:hAnsi="宋体" w:eastAsia="宋体" w:cs="宋体"/>
          <w:sz w:val="32"/>
          <w:szCs w:val="32"/>
          <w:highlight w:val="none"/>
          <w:u w:val="single"/>
        </w:rPr>
        <w:t>仅限于此工程项目。</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1.8.3工程量清单错误的修正</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出现工程量清单错误时，是否调整合同价格：</w:t>
      </w:r>
      <w:r>
        <w:rPr>
          <w:rFonts w:hint="eastAsia" w:ascii="宋体" w:hAnsi="宋体" w:eastAsia="宋体" w:cs="宋体"/>
          <w:sz w:val="32"/>
          <w:szCs w:val="32"/>
          <w:highlight w:val="none"/>
          <w:u w:val="single"/>
        </w:rPr>
        <w:t xml:space="preserve"> /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允许调整合同价格的工程量偏差范围：</w:t>
      </w:r>
      <w:r>
        <w:rPr>
          <w:rFonts w:hint="eastAsia" w:ascii="宋体" w:hAnsi="宋体" w:eastAsia="宋体" w:cs="宋体"/>
          <w:sz w:val="32"/>
          <w:szCs w:val="32"/>
          <w:highlight w:val="none"/>
          <w:u w:val="single"/>
        </w:rPr>
        <w:t>/ 。</w:t>
      </w:r>
    </w:p>
    <w:p>
      <w:pPr>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sz w:val="32"/>
          <w:szCs w:val="32"/>
          <w:highlight w:val="none"/>
        </w:rPr>
      </w:pPr>
      <w:bookmarkStart w:id="66" w:name="_Toc351203634"/>
      <w:r>
        <w:rPr>
          <w:rFonts w:hint="eastAsia" w:ascii="宋体" w:hAnsi="宋体" w:eastAsia="宋体" w:cs="宋体"/>
          <w:b/>
          <w:sz w:val="32"/>
          <w:szCs w:val="32"/>
          <w:highlight w:val="none"/>
        </w:rPr>
        <w:t>2</w:t>
      </w:r>
      <w:bookmarkStart w:id="67" w:name="_Toc292559867"/>
      <w:bookmarkStart w:id="68" w:name="_Toc297120457"/>
      <w:bookmarkStart w:id="69" w:name="_Toc296944496"/>
      <w:bookmarkStart w:id="70" w:name="_Toc296891197"/>
      <w:bookmarkStart w:id="71" w:name="_Toc297048343"/>
      <w:bookmarkStart w:id="72" w:name="_Toc292559362"/>
      <w:bookmarkStart w:id="73" w:name="_Toc296890985"/>
      <w:bookmarkStart w:id="74" w:name="_Toc296347156"/>
      <w:bookmarkStart w:id="75" w:name="_Toc296346658"/>
      <w:bookmarkStart w:id="76" w:name="_Toc296503157"/>
      <w:r>
        <w:rPr>
          <w:rFonts w:hint="eastAsia" w:ascii="宋体" w:hAnsi="宋体" w:eastAsia="宋体" w:cs="宋体"/>
          <w:b/>
          <w:sz w:val="32"/>
          <w:szCs w:val="32"/>
          <w:highlight w:val="none"/>
        </w:rPr>
        <w:t>. 发包人</w:t>
      </w:r>
      <w:bookmarkEnd w:id="66"/>
    </w:p>
    <w:bookmarkEnd w:id="67"/>
    <w:bookmarkEnd w:id="68"/>
    <w:bookmarkEnd w:id="69"/>
    <w:bookmarkEnd w:id="70"/>
    <w:bookmarkEnd w:id="71"/>
    <w:bookmarkEnd w:id="72"/>
    <w:bookmarkEnd w:id="73"/>
    <w:bookmarkEnd w:id="74"/>
    <w:bookmarkEnd w:id="75"/>
    <w:bookmarkEnd w:id="76"/>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2.1 发包人代表</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姓    名：</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none"/>
          <w:lang w:val="en-US" w:eastAsia="zh-CN"/>
        </w:rPr>
        <w:t xml:space="preserve">      </w:t>
      </w:r>
      <w:r>
        <w:rPr>
          <w:rFonts w:hint="eastAsia" w:ascii="宋体" w:hAnsi="宋体" w:eastAsia="宋体" w:cs="宋体"/>
          <w:sz w:val="32"/>
          <w:szCs w:val="32"/>
          <w:highlight w:val="none"/>
        </w:rPr>
        <w:t>身份证号：</w:t>
      </w:r>
      <w:r>
        <w:rPr>
          <w:rFonts w:hint="eastAsia" w:ascii="宋体" w:hAnsi="宋体" w:eastAsia="宋体" w:cs="宋体"/>
          <w:sz w:val="32"/>
          <w:szCs w:val="32"/>
          <w:highlight w:val="none"/>
          <w:u w:val="single"/>
        </w:rPr>
        <w:t xml:space="preserve">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职    务：</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none"/>
          <w:lang w:val="en-US" w:eastAsia="zh-CN"/>
        </w:rPr>
        <w:t xml:space="preserve">      </w:t>
      </w:r>
      <w:r>
        <w:rPr>
          <w:rFonts w:hint="eastAsia" w:ascii="宋体" w:hAnsi="宋体" w:eastAsia="宋体" w:cs="宋体"/>
          <w:sz w:val="32"/>
          <w:szCs w:val="32"/>
          <w:highlight w:val="none"/>
        </w:rPr>
        <w:t>联系电话：</w:t>
      </w:r>
      <w:r>
        <w:rPr>
          <w:rFonts w:hint="eastAsia" w:ascii="宋体" w:hAnsi="宋体" w:eastAsia="宋体" w:cs="宋体"/>
          <w:sz w:val="32"/>
          <w:szCs w:val="32"/>
          <w:highlight w:val="none"/>
          <w:u w:val="single"/>
        </w:rPr>
        <w:t xml:space="preserve">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发包人对发包人代表的授权范围如下：</w:t>
      </w:r>
      <w:r>
        <w:rPr>
          <w:rFonts w:hint="eastAsia" w:ascii="宋体" w:hAnsi="宋体" w:eastAsia="宋体" w:cs="宋体"/>
          <w:sz w:val="32"/>
          <w:szCs w:val="32"/>
          <w:highlight w:val="none"/>
          <w:u w:val="single"/>
        </w:rPr>
        <w:t>按发包人要求执行。</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2.2 施工现场、施工条件和基础资料的提供</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2.2.1 提供施工现场</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关于发包人移交施工现场的期限要求：</w:t>
      </w:r>
      <w:r>
        <w:rPr>
          <w:rFonts w:hint="eastAsia" w:ascii="宋体" w:hAnsi="宋体" w:eastAsia="宋体" w:cs="宋体"/>
          <w:sz w:val="32"/>
          <w:szCs w:val="32"/>
          <w:highlight w:val="none"/>
          <w:u w:val="single"/>
        </w:rPr>
        <w:t>按发包人要求执行</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2.2.2 提供施工条件</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关于发包人应负责提供施工所需要的条件，包括：</w:t>
      </w:r>
      <w:bookmarkStart w:id="77" w:name="EB7fe94723d337418f9b4c72244f39b38b"/>
    </w:p>
    <w:bookmarkEnd w:id="77"/>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1）发包人不提供水源、电源，临时用水、用电、施工场地均由承包人自行解决，费用自理。所需水、电费用均由承包人自行配备电箱、水表、电表。水电费结算方式：承包人单独接水表、电表，水表、电表费用及水、电费用均已包含在承包价中。若承包人在施工过程中盗用消防水，所产生的相应责任都由承包人承担。</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（2）开工前，发包人组织设计等相关单位对施工图纸进行初次会审交底，以后根据施工组织设计进一步对施图纸的会审和详细交底。</w:t>
      </w:r>
    </w:p>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bookmarkStart w:id="78" w:name="_Toc351203635"/>
      <w:r>
        <w:rPr>
          <w:rFonts w:hint="eastAsia" w:ascii="宋体" w:hAnsi="宋体" w:eastAsia="宋体" w:cs="宋体"/>
          <w:b/>
          <w:bCs/>
          <w:sz w:val="32"/>
          <w:szCs w:val="32"/>
          <w:highlight w:val="none"/>
        </w:rPr>
        <w:t>3</w:t>
      </w:r>
      <w:bookmarkStart w:id="79" w:name="_Toc296347157"/>
      <w:bookmarkStart w:id="80" w:name="_Toc292559868"/>
      <w:bookmarkStart w:id="81" w:name="_Toc292559363"/>
      <w:bookmarkStart w:id="82" w:name="_Toc297120458"/>
      <w:bookmarkStart w:id="83" w:name="_Toc296891198"/>
      <w:bookmarkStart w:id="84" w:name="_Toc296346659"/>
      <w:bookmarkStart w:id="85" w:name="_Toc297048344"/>
      <w:bookmarkStart w:id="86" w:name="_Toc296890986"/>
      <w:bookmarkStart w:id="87" w:name="_Toc296944497"/>
      <w:bookmarkStart w:id="88" w:name="_Toc296503158"/>
      <w:r>
        <w:rPr>
          <w:rFonts w:hint="eastAsia" w:ascii="宋体" w:hAnsi="宋体" w:eastAsia="宋体" w:cs="宋体"/>
          <w:b/>
          <w:bCs/>
          <w:sz w:val="32"/>
          <w:szCs w:val="32"/>
          <w:highlight w:val="none"/>
        </w:rPr>
        <w:t>. 承包人</w:t>
      </w:r>
      <w:bookmarkEnd w:id="78"/>
    </w:p>
    <w:bookmarkEnd w:id="79"/>
    <w:bookmarkEnd w:id="80"/>
    <w:bookmarkEnd w:id="81"/>
    <w:bookmarkEnd w:id="82"/>
    <w:bookmarkEnd w:id="83"/>
    <w:bookmarkEnd w:id="84"/>
    <w:bookmarkEnd w:id="85"/>
    <w:bookmarkEnd w:id="86"/>
    <w:bookmarkEnd w:id="87"/>
    <w:bookmarkEnd w:id="88"/>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3.1 承包人的一般义务</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3.1.1承包人提交的竣工资料的内容：</w:t>
      </w:r>
    </w:p>
    <w:p>
      <w:pPr>
        <w:pageBreakBefore w:val="0"/>
        <w:widowControl w:val="0"/>
        <w:numPr>
          <w:ilvl w:val="0"/>
          <w:numId w:val="0"/>
        </w:numPr>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w:t>
      </w:r>
      <w:r>
        <w:rPr>
          <w:rFonts w:hint="eastAsia" w:ascii="宋体" w:hAnsi="宋体" w:eastAsia="宋体" w:cs="宋体"/>
          <w:sz w:val="32"/>
          <w:szCs w:val="32"/>
          <w:highlight w:val="none"/>
          <w:u w:val="single"/>
          <w:lang w:val="en-US" w:eastAsia="zh-CN"/>
        </w:rPr>
        <w:t>1</w:t>
      </w:r>
      <w:r>
        <w:rPr>
          <w:rFonts w:hint="eastAsia" w:ascii="宋体" w:hAnsi="宋体" w:eastAsia="宋体" w:cs="宋体"/>
          <w:sz w:val="32"/>
          <w:szCs w:val="32"/>
          <w:highlight w:val="none"/>
          <w:u w:val="single"/>
        </w:rPr>
        <w:t>）要求纸质资料必须装订成册，且符合发包方档案资料管理标准。</w:t>
      </w:r>
    </w:p>
    <w:p>
      <w:pPr>
        <w:pageBreakBefore w:val="0"/>
        <w:widowControl w:val="0"/>
        <w:numPr>
          <w:ilvl w:val="0"/>
          <w:numId w:val="0"/>
        </w:numPr>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w:t>
      </w:r>
      <w:r>
        <w:rPr>
          <w:rFonts w:hint="eastAsia" w:ascii="宋体" w:hAnsi="宋体" w:eastAsia="宋体" w:cs="宋体"/>
          <w:sz w:val="32"/>
          <w:szCs w:val="32"/>
          <w:highlight w:val="none"/>
          <w:u w:val="single"/>
          <w:lang w:val="en-US" w:eastAsia="zh-CN"/>
        </w:rPr>
        <w:t>2</w:t>
      </w:r>
      <w:r>
        <w:rPr>
          <w:rFonts w:hint="eastAsia" w:ascii="宋体" w:hAnsi="宋体" w:eastAsia="宋体" w:cs="宋体"/>
          <w:sz w:val="32"/>
          <w:szCs w:val="32"/>
          <w:highlight w:val="none"/>
          <w:u w:val="single"/>
        </w:rPr>
        <w:t>）承包人提交完整的结算资料的时间：竣工验收合格后 30 日内，如未按此规定时间提供按1000元/天支付违约金。</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3.1.2承包人应履行的其他义务：</w:t>
      </w:r>
    </w:p>
    <w:p>
      <w:pPr>
        <w:pStyle w:val="2"/>
        <w:ind w:left="0" w:leftChars="0" w:firstLine="640" w:firstLineChars="200"/>
        <w:rPr>
          <w:rFonts w:hint="eastAsia" w:ascii="宋体" w:hAnsi="宋体" w:eastAsia="宋体" w:cs="宋体"/>
          <w:sz w:val="32"/>
          <w:szCs w:val="32"/>
          <w:highlight w:val="none"/>
          <w:u w:val="single"/>
        </w:rPr>
      </w:pPr>
      <w:r>
        <w:rPr>
          <w:rFonts w:hint="eastAsia" w:ascii="宋体" w:hAnsi="宋体" w:eastAsia="宋体" w:cs="宋体"/>
          <w:kern w:val="2"/>
          <w:sz w:val="32"/>
          <w:szCs w:val="32"/>
          <w:highlight w:val="none"/>
          <w:u w:val="single"/>
          <w:lang w:val="en-US" w:eastAsia="zh-CN" w:bidi="ar-SA"/>
        </w:rPr>
        <w:t>(</w:t>
      </w:r>
      <w:r>
        <w:rPr>
          <w:rFonts w:hint="eastAsia" w:ascii="宋体" w:hAnsi="宋体" w:cs="宋体"/>
          <w:kern w:val="2"/>
          <w:sz w:val="32"/>
          <w:szCs w:val="32"/>
          <w:highlight w:val="none"/>
          <w:u w:val="single"/>
          <w:lang w:val="en-US" w:eastAsia="zh-CN" w:bidi="ar-SA"/>
        </w:rPr>
        <w:t>1</w:t>
      </w:r>
      <w:r>
        <w:rPr>
          <w:rFonts w:hint="eastAsia" w:ascii="宋体" w:hAnsi="宋体" w:eastAsia="宋体" w:cs="宋体"/>
          <w:kern w:val="2"/>
          <w:sz w:val="32"/>
          <w:szCs w:val="32"/>
          <w:highlight w:val="none"/>
          <w:u w:val="single"/>
          <w:lang w:val="en-US" w:eastAsia="zh-CN" w:bidi="ar-SA"/>
        </w:rPr>
        <w:t>）</w:t>
      </w:r>
      <w:r>
        <w:rPr>
          <w:rFonts w:hint="eastAsia" w:ascii="宋体" w:hAnsi="宋体" w:cs="宋体"/>
          <w:kern w:val="2"/>
          <w:sz w:val="32"/>
          <w:szCs w:val="32"/>
          <w:highlight w:val="none"/>
          <w:u w:val="single"/>
          <w:lang w:val="en-US" w:eastAsia="zh-CN" w:bidi="ar-SA"/>
        </w:rPr>
        <w:t>承包人</w:t>
      </w:r>
      <w:r>
        <w:rPr>
          <w:rFonts w:hint="eastAsia" w:ascii="宋体" w:hAnsi="宋体" w:eastAsia="宋体" w:cs="宋体"/>
          <w:kern w:val="2"/>
          <w:sz w:val="32"/>
          <w:szCs w:val="32"/>
          <w:highlight w:val="none"/>
          <w:u w:val="single"/>
          <w:lang w:val="en-US" w:eastAsia="zh-CN" w:bidi="ar-SA"/>
        </w:rPr>
        <w:t>应委派专人负责施工过程中与地方</w:t>
      </w:r>
      <w:r>
        <w:rPr>
          <w:rFonts w:hint="eastAsia" w:ascii="宋体" w:hAnsi="宋体" w:cs="宋体"/>
          <w:kern w:val="2"/>
          <w:sz w:val="32"/>
          <w:szCs w:val="32"/>
          <w:highlight w:val="none"/>
          <w:u w:val="single"/>
          <w:lang w:val="en-US" w:eastAsia="zh-CN" w:bidi="ar-SA"/>
        </w:rPr>
        <w:t>政府、村委、村民等</w:t>
      </w:r>
      <w:r>
        <w:rPr>
          <w:rFonts w:hint="eastAsia" w:ascii="宋体" w:hAnsi="宋体" w:eastAsia="宋体" w:cs="宋体"/>
          <w:kern w:val="2"/>
          <w:sz w:val="32"/>
          <w:szCs w:val="32"/>
          <w:highlight w:val="none"/>
          <w:u w:val="single"/>
          <w:lang w:val="en-US" w:eastAsia="zh-CN" w:bidi="ar-SA"/>
        </w:rPr>
        <w:t>关系的协调</w:t>
      </w:r>
      <w:r>
        <w:rPr>
          <w:rFonts w:hint="eastAsia" w:ascii="宋体" w:hAnsi="宋体" w:cs="宋体"/>
          <w:kern w:val="2"/>
          <w:sz w:val="32"/>
          <w:szCs w:val="32"/>
          <w:highlight w:val="none"/>
          <w:u w:val="single"/>
          <w:lang w:val="en-US" w:eastAsia="zh-CN" w:bidi="ar-SA"/>
        </w:rPr>
        <w:t>，并承担由此发生的一切费用</w:t>
      </w:r>
      <w:r>
        <w:rPr>
          <w:rFonts w:hint="eastAsia" w:ascii="宋体" w:hAnsi="宋体" w:eastAsia="宋体" w:cs="宋体"/>
          <w:kern w:val="2"/>
          <w:sz w:val="32"/>
          <w:szCs w:val="32"/>
          <w:highlight w:val="none"/>
          <w:u w:val="single"/>
          <w:lang w:val="en-US" w:eastAsia="zh-CN" w:bidi="ar-SA"/>
        </w:rPr>
        <w:t xml:space="preserve">。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w:t>
      </w:r>
      <w:r>
        <w:rPr>
          <w:rFonts w:hint="eastAsia" w:ascii="宋体" w:hAnsi="宋体" w:cs="宋体"/>
          <w:sz w:val="32"/>
          <w:szCs w:val="32"/>
          <w:highlight w:val="none"/>
          <w:u w:val="single"/>
          <w:lang w:val="en-US" w:eastAsia="zh-CN"/>
        </w:rPr>
        <w:t>2</w:t>
      </w:r>
      <w:r>
        <w:rPr>
          <w:rFonts w:hint="eastAsia" w:ascii="宋体" w:hAnsi="宋体" w:eastAsia="宋体" w:cs="宋体"/>
          <w:sz w:val="32"/>
          <w:szCs w:val="32"/>
          <w:highlight w:val="none"/>
          <w:u w:val="single"/>
        </w:rPr>
        <w:t xml:space="preserve">）承包人在本合同生效后7天向发包人提供施工组织设计和施工总进度计划，发包人在7天内予以回复。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w:t>
      </w:r>
      <w:r>
        <w:rPr>
          <w:rFonts w:hint="eastAsia" w:ascii="宋体" w:hAnsi="宋体" w:cs="宋体"/>
          <w:sz w:val="32"/>
          <w:szCs w:val="32"/>
          <w:highlight w:val="none"/>
          <w:u w:val="single"/>
          <w:lang w:val="en-US" w:eastAsia="zh-CN"/>
        </w:rPr>
        <w:t>3</w:t>
      </w:r>
      <w:r>
        <w:rPr>
          <w:rFonts w:hint="eastAsia" w:ascii="宋体" w:hAnsi="宋体" w:eastAsia="宋体" w:cs="宋体"/>
          <w:sz w:val="32"/>
          <w:szCs w:val="32"/>
          <w:highlight w:val="none"/>
          <w:u w:val="single"/>
        </w:rPr>
        <w:t xml:space="preserve">）承包人须负责与当地政府及有关单位联系、安排及协调。根据国家及地方有关规定，由承包人办理有关交通、环卫、环保手续，并承担相关费用，负责协调和处理因施工引起的周边地段民事纠纷，并承担由此发生的费用，包括因承包人责任造成的违约责任和赔偿。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 xml:space="preserve">排污管理：承包人自行办理排污许可证，费用由承包人在投标报价中考虑；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 xml:space="preserve">噪声管理：承包人自行办理夜间施工许可证，费用由承包人在投标报价中考虑；施工噪声引起的纠纷由承包人自行解决；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 xml:space="preserve">垃圾管理：承包人自行办理垃圾弃置许可证，费用由承包人在投标报价中考虑；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 xml:space="preserve">公共道路占用（若有）：承包人办理占用手续。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w:t>
      </w:r>
      <w:r>
        <w:rPr>
          <w:rFonts w:hint="eastAsia" w:ascii="宋体" w:hAnsi="宋体" w:cs="宋体"/>
          <w:sz w:val="32"/>
          <w:szCs w:val="32"/>
          <w:highlight w:val="none"/>
          <w:u w:val="single"/>
          <w:lang w:val="en-US" w:eastAsia="zh-CN"/>
        </w:rPr>
        <w:t>4</w:t>
      </w:r>
      <w:r>
        <w:rPr>
          <w:rFonts w:hint="eastAsia" w:ascii="宋体" w:hAnsi="宋体" w:eastAsia="宋体" w:cs="宋体"/>
          <w:sz w:val="32"/>
          <w:szCs w:val="32"/>
          <w:highlight w:val="none"/>
          <w:u w:val="single"/>
        </w:rPr>
        <w:t xml:space="preserve">）施工场地清洁卫生的要求：按照省、市文件规定的相关要求执行，达到文明工地标准。禁止在非规定地点吸烟、大小便、倒垃圾，违者将按发包人施工过程中的相关管理办法或制度承担违约金。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w:t>
      </w:r>
      <w:r>
        <w:rPr>
          <w:rFonts w:hint="eastAsia" w:ascii="宋体" w:hAnsi="宋体" w:cs="宋体"/>
          <w:sz w:val="32"/>
          <w:szCs w:val="32"/>
          <w:highlight w:val="none"/>
          <w:u w:val="single"/>
          <w:lang w:val="en-US" w:eastAsia="zh-CN"/>
        </w:rPr>
        <w:t>5</w:t>
      </w:r>
      <w:r>
        <w:rPr>
          <w:rFonts w:hint="eastAsia" w:ascii="宋体" w:hAnsi="宋体" w:eastAsia="宋体" w:cs="宋体"/>
          <w:sz w:val="32"/>
          <w:szCs w:val="32"/>
          <w:highlight w:val="none"/>
          <w:u w:val="single"/>
        </w:rPr>
        <w:t xml:space="preserve">）高（中）考、节假日、市内有关方面重大活动期间或发包人需要的特别时间段内，可能对施工作出某些限制和配合要求，承包人应予无条件服从，并按照有关要求作出必要的配合，这可能造成承包人损失，但发包人将不承担承包人的任何损失。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w:t>
      </w:r>
      <w:r>
        <w:rPr>
          <w:rFonts w:hint="eastAsia" w:ascii="宋体" w:hAnsi="宋体" w:cs="宋体"/>
          <w:sz w:val="32"/>
          <w:szCs w:val="32"/>
          <w:highlight w:val="none"/>
          <w:u w:val="single"/>
          <w:lang w:val="en-US" w:eastAsia="zh-CN"/>
        </w:rPr>
        <w:t>6</w:t>
      </w:r>
      <w:r>
        <w:rPr>
          <w:rFonts w:hint="eastAsia" w:ascii="宋体" w:hAnsi="宋体" w:eastAsia="宋体" w:cs="宋体"/>
          <w:sz w:val="32"/>
          <w:szCs w:val="32"/>
          <w:highlight w:val="none"/>
          <w:u w:val="single"/>
        </w:rPr>
        <w:t xml:space="preserve">）承包人要加强工程施工车辆的管理，施工车辆不得无故影响道路交通，不得沿途抛洒弃土，保持路面清洁，避免带泥作业和沿路撒泼滴漏等。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w:t>
      </w:r>
      <w:r>
        <w:rPr>
          <w:rFonts w:hint="eastAsia" w:ascii="宋体" w:hAnsi="宋体" w:cs="宋体"/>
          <w:sz w:val="32"/>
          <w:szCs w:val="32"/>
          <w:highlight w:val="none"/>
          <w:u w:val="single"/>
          <w:lang w:val="en-US" w:eastAsia="zh-CN"/>
        </w:rPr>
        <w:t>7</w:t>
      </w:r>
      <w:r>
        <w:rPr>
          <w:rFonts w:hint="eastAsia" w:ascii="宋体" w:hAnsi="宋体" w:eastAsia="宋体" w:cs="宋体"/>
          <w:sz w:val="32"/>
          <w:szCs w:val="32"/>
          <w:highlight w:val="none"/>
          <w:u w:val="single"/>
        </w:rPr>
        <w:t xml:space="preserve">）施工场地周围地下管线和邻近建筑物、构筑物的保护：施工场地周围地下管线和邻近建筑物、构筑物等，承包人不得破坏，否则必须无条件及时修复，并承担由此发生的费用，必须安全文明施工。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3.2 项目负责人</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3.2.1 项目负责人：</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姓    名：</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eastAsia="zh-CN"/>
        </w:rPr>
        <w:t>；</w:t>
      </w:r>
      <w:r>
        <w:rPr>
          <w:rFonts w:hint="eastAsia" w:ascii="宋体" w:hAnsi="宋体" w:eastAsia="宋体" w:cs="宋体"/>
          <w:sz w:val="32"/>
          <w:szCs w:val="32"/>
          <w:highlight w:val="none"/>
          <w:u w:val="none"/>
          <w:lang w:val="en-US" w:eastAsia="zh-CN"/>
        </w:rPr>
        <w:t xml:space="preserve">      </w:t>
      </w:r>
      <w:r>
        <w:rPr>
          <w:rFonts w:hint="eastAsia" w:ascii="宋体" w:hAnsi="宋体" w:eastAsia="宋体" w:cs="宋体"/>
          <w:sz w:val="32"/>
          <w:szCs w:val="32"/>
          <w:highlight w:val="none"/>
        </w:rPr>
        <w:t>身份证号：</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建造师执业资格等级：</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建造师注册证书号：</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建造师执业印章号：</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安全生产考核合格证书号：</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承包人对项目经理</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项目负责人，下同</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的授权范围如下：</w:t>
      </w:r>
      <w:r>
        <w:rPr>
          <w:rFonts w:hint="eastAsia" w:ascii="宋体" w:hAnsi="宋体" w:eastAsia="宋体" w:cs="宋体"/>
          <w:sz w:val="32"/>
          <w:szCs w:val="32"/>
          <w:highlight w:val="none"/>
          <w:u w:val="single"/>
        </w:rPr>
        <w:t>代表承包人行使合同约定的权利和义务，履行合同约定的各项职责</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关于项目经理每月在施工现场的时间要求：</w:t>
      </w:r>
      <w:r>
        <w:rPr>
          <w:rFonts w:hint="eastAsia" w:ascii="宋体" w:hAnsi="宋体" w:eastAsia="宋体" w:cs="宋体"/>
          <w:sz w:val="32"/>
          <w:szCs w:val="32"/>
          <w:highlight w:val="none"/>
          <w:u w:val="single"/>
        </w:rPr>
        <w:t>（1）项目经理每周到岗天数不少于5日，每日工作时间不低于6小时，并24小时保持通讯畅通；同时必须按规定参加工程例会及其他会议；（2）技术负责人、施工员、安全员、质量员和材料员每周到岗天数不少于5日，每日工作时间不低于8小时，并24小时保持通讯畅通；同时必须按规定参加工程例会及其他会议。</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承包人未提交劳动合同，以及没有为项目经理缴纳社会保险证明的违约责任：</w:t>
      </w:r>
      <w:r>
        <w:rPr>
          <w:rFonts w:hint="eastAsia" w:ascii="宋体" w:hAnsi="宋体" w:eastAsia="宋体" w:cs="宋体"/>
          <w:sz w:val="32"/>
          <w:szCs w:val="32"/>
          <w:highlight w:val="none"/>
          <w:u w:val="single"/>
        </w:rPr>
        <w:t>由承包人承担</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项目经理未经批准，擅自离开施工现场的违约责任：</w:t>
      </w:r>
      <w:r>
        <w:rPr>
          <w:rFonts w:hint="eastAsia" w:ascii="宋体" w:hAnsi="宋体" w:eastAsia="宋体" w:cs="宋体"/>
          <w:position w:val="1"/>
          <w:sz w:val="32"/>
          <w:szCs w:val="32"/>
          <w:highlight w:val="none"/>
          <w:u w:val="single"/>
        </w:rPr>
        <w:t>由发包人对项目经理进行考核，如低于上述规定的天数和工作时间，作违约处理，承包人向发包人支付违约金1000元/天；规定参加工程例会必须准时到场，项目经理不到场支付1000元/次的违约金，迟到200元/次，有事必须出具书面请假条报</w:t>
      </w:r>
      <w:r>
        <w:rPr>
          <w:rFonts w:hint="eastAsia" w:ascii="宋体" w:hAnsi="宋体" w:eastAsia="宋体" w:cs="宋体"/>
          <w:position w:val="1"/>
          <w:sz w:val="32"/>
          <w:szCs w:val="32"/>
          <w:highlight w:val="none"/>
          <w:u w:val="single"/>
          <w:lang w:val="en-US" w:eastAsia="zh-CN"/>
        </w:rPr>
        <w:t>发包</w:t>
      </w:r>
      <w:r>
        <w:rPr>
          <w:rFonts w:hint="eastAsia" w:ascii="宋体" w:hAnsi="宋体" w:eastAsia="宋体" w:cs="宋体"/>
          <w:position w:val="1"/>
          <w:sz w:val="32"/>
          <w:szCs w:val="32"/>
          <w:highlight w:val="none"/>
          <w:u w:val="single"/>
        </w:rPr>
        <w:t>人认可；以上情况若连续超过两次，按照上述标准的双倍支付违约金，若承包人拒不整改，发包人有权解除合同，将承包人清退出场，解除合同的同时不免除承包人应当承担的上述违约责任。</w:t>
      </w:r>
    </w:p>
    <w:p>
      <w:pPr>
        <w:pageBreakBefore w:val="0"/>
        <w:widowControl w:val="0"/>
        <w:kinsoku/>
        <w:wordWrap/>
        <w:overflowPunct/>
        <w:topLinePunct w:val="0"/>
        <w:bidi w:val="0"/>
        <w:adjustRightInd w:val="0"/>
        <w:snapToGrid w:val="0"/>
        <w:spacing w:line="560" w:lineRule="exact"/>
        <w:ind w:right="16"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3.2.2 承包人擅自更换项目经理的违约责任：</w:t>
      </w:r>
      <w:r>
        <w:rPr>
          <w:rFonts w:hint="eastAsia" w:ascii="宋体" w:hAnsi="宋体" w:eastAsia="宋体" w:cs="宋体"/>
          <w:sz w:val="32"/>
          <w:szCs w:val="32"/>
          <w:highlight w:val="none"/>
          <w:u w:val="single"/>
        </w:rPr>
        <w:t>本工程中标的项目经理不得更换，如承包人擅自更换，则发包人有权解除合同。如确有特殊原因需更换项目经理，需承担违约金5万元并经发包人同意(意外事故及突发重病除外)，且更换后的项目经理资历条件不得低于原中标项目经理。</w:t>
      </w:r>
    </w:p>
    <w:p>
      <w:pPr>
        <w:pageBreakBefore w:val="0"/>
        <w:widowControl w:val="0"/>
        <w:kinsoku/>
        <w:wordWrap/>
        <w:overflowPunct/>
        <w:topLinePunct w:val="0"/>
        <w:bidi w:val="0"/>
        <w:adjustRightInd w:val="0"/>
        <w:snapToGrid w:val="0"/>
        <w:spacing w:line="560" w:lineRule="exact"/>
        <w:ind w:right="16"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3.2.3 承包人无正当理由拒绝更换项目经理的违约责任：</w:t>
      </w:r>
      <w:r>
        <w:rPr>
          <w:rFonts w:hint="eastAsia" w:ascii="宋体" w:hAnsi="宋体" w:eastAsia="宋体" w:cs="宋体"/>
          <w:sz w:val="32"/>
          <w:szCs w:val="32"/>
          <w:highlight w:val="none"/>
          <w:u w:val="single"/>
        </w:rPr>
        <w:t>发包人有证据确认本工程中标的项目经理无法胜任或者不能积极配合发包人正常工作的，经发包人提出后，必须在 3日内调离本工程，同时承包人应在 3 日内用发包人批准的项目经理代替上述调离的中标项目经理，否则向发包人支付 1000元/天违约金；若拒不整改，发包人有权解除合同，将承包人清退出场，解除合同的同时不免除承包人应当承担的上述违约责任。</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3.3 承包人人员</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3.3.1 承包人提交项目管理机构及施工现场管理人员安排报告的期限：</w:t>
      </w:r>
      <w:r>
        <w:rPr>
          <w:rFonts w:hint="eastAsia" w:ascii="宋体" w:hAnsi="宋体" w:eastAsia="宋体" w:cs="宋体"/>
          <w:sz w:val="32"/>
          <w:szCs w:val="32"/>
          <w:highlight w:val="none"/>
          <w:u w:val="single"/>
        </w:rPr>
        <w:t>开工前7天。</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3.3.2 承包人无正当理由拒绝撤换主要施工管理人员的违约责任：</w:t>
      </w:r>
      <w:r>
        <w:rPr>
          <w:rFonts w:hint="eastAsia" w:ascii="宋体" w:hAnsi="宋体" w:eastAsia="宋体" w:cs="宋体"/>
          <w:sz w:val="32"/>
          <w:szCs w:val="32"/>
          <w:highlight w:val="none"/>
          <w:u w:val="single"/>
        </w:rPr>
        <w:t>发包人有证据确认本工程投标书中的技术负责人、施工员、安全员、质量员和材料员无法胜任或者不能积极配合监理人及发包人正常工作的，经发包人提出后，必须在3日内调离本工程，同时承包人应在 3 日内用发包人批准的主要施工管理人员代替上述调离的主要施工管理人员，否则向发包人支付1000元/人天违约金。</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3.3.3 承包人主要施工管理人员离开施工现场的批准要求：</w:t>
      </w:r>
      <w:r>
        <w:rPr>
          <w:rFonts w:hint="eastAsia" w:ascii="宋体" w:hAnsi="宋体" w:eastAsia="宋体" w:cs="宋体"/>
          <w:sz w:val="32"/>
          <w:szCs w:val="32"/>
          <w:highlight w:val="none"/>
          <w:u w:val="singl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3.3.4承包人擅自更换主要施工管理人员的违约责任：</w:t>
      </w:r>
      <w:r>
        <w:rPr>
          <w:rFonts w:hint="eastAsia" w:ascii="宋体" w:hAnsi="宋体" w:eastAsia="宋体" w:cs="宋体"/>
          <w:sz w:val="32"/>
          <w:szCs w:val="32"/>
          <w:highlight w:val="none"/>
          <w:u w:val="single"/>
        </w:rPr>
        <w:t>发包人要求投标书中的技术负责人、施工员、安全员、质量员和材料员到位，中途若更换，须经发包人同意 (意外事故及突发重病除外)并承担违约金：技术负责人5万元、其余人员1万元/人；若擅自更换，发包人有权单方解除合同。</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承包人主要施工管理人员擅自离开施工现场的违约责任：</w:t>
      </w:r>
      <w:r>
        <w:rPr>
          <w:rFonts w:hint="eastAsia" w:ascii="宋体" w:hAnsi="宋体" w:eastAsia="宋体" w:cs="宋体"/>
          <w:sz w:val="32"/>
          <w:szCs w:val="32"/>
          <w:highlight w:val="none"/>
          <w:u w:val="single"/>
        </w:rPr>
        <w:t>由发包人对本工程投标书中的技术负责人、施工员、安全员、质量员和材料员进行考核，如低于上述规定的天数和工作时间，作违约处理，承包人向发包人支付违约金500元/天；规定参加工程例会必须准时到场，技术负责人、施工员、安全员、质量员和材料员不到场支付1000元/次的违约金，迟到200元/次，有事必须出具书面请假条报发包人认可；以上情况若连续超过两次，按照上述标准的双倍支付违约金。</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w:t>
      </w:r>
      <w:bookmarkStart w:id="89" w:name="_Toc297048345"/>
      <w:bookmarkStart w:id="90" w:name="_Toc296944498"/>
      <w:bookmarkStart w:id="91" w:name="_Toc296346660"/>
      <w:bookmarkStart w:id="92" w:name="_Toc297120459"/>
      <w:bookmarkStart w:id="93" w:name="_Toc292559869"/>
      <w:bookmarkStart w:id="94" w:name="_Toc296890987"/>
      <w:bookmarkStart w:id="95" w:name="_Toc303539102"/>
      <w:bookmarkStart w:id="96" w:name="_Toc300934945"/>
      <w:bookmarkStart w:id="97" w:name="_Toc296503159"/>
      <w:bookmarkStart w:id="98" w:name="_Toc312677988"/>
      <w:bookmarkStart w:id="99" w:name="_Toc292559364"/>
      <w:bookmarkStart w:id="100" w:name="_Toc304295523"/>
      <w:bookmarkStart w:id="101" w:name="_Toc296891199"/>
      <w:bookmarkStart w:id="102" w:name="_Toc296347158"/>
      <w:bookmarkStart w:id="103" w:name="_Toc297123492"/>
      <w:bookmarkStart w:id="104" w:name="_Toc297216151"/>
      <w:r>
        <w:rPr>
          <w:rFonts w:hint="eastAsia" w:ascii="宋体" w:hAnsi="宋体" w:eastAsia="宋体" w:cs="宋体"/>
          <w:sz w:val="32"/>
          <w:szCs w:val="32"/>
          <w:highlight w:val="none"/>
        </w:rPr>
        <w:t>.4 分包</w:t>
      </w: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w:t>
      </w:r>
      <w:bookmarkStart w:id="105" w:name="_Toc318581159"/>
      <w:bookmarkStart w:id="106" w:name="_Toc312677990"/>
      <w:r>
        <w:rPr>
          <w:rFonts w:hint="eastAsia" w:ascii="宋体" w:hAnsi="宋体" w:eastAsia="宋体" w:cs="宋体"/>
          <w:sz w:val="32"/>
          <w:szCs w:val="32"/>
          <w:highlight w:val="none"/>
        </w:rPr>
        <w:t>.4.2分包的确定</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允许分包的专业工程包括：</w:t>
      </w:r>
      <w:r>
        <w:rPr>
          <w:rFonts w:hint="eastAsia" w:ascii="宋体" w:hAnsi="宋体" w:eastAsia="宋体" w:cs="宋体"/>
          <w:sz w:val="32"/>
          <w:szCs w:val="32"/>
          <w:highlight w:val="none"/>
          <w:u w:val="single"/>
        </w:rPr>
        <w:t xml:space="preserve">  /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其他关于分包的约定：</w:t>
      </w:r>
      <w:r>
        <w:rPr>
          <w:rFonts w:hint="eastAsia" w:ascii="宋体" w:hAnsi="宋体" w:eastAsia="宋体" w:cs="宋体"/>
          <w:sz w:val="32"/>
          <w:szCs w:val="32"/>
          <w:highlight w:val="none"/>
          <w:u w:val="single"/>
        </w:rPr>
        <w:t xml:space="preserve">   /   </w:t>
      </w:r>
    </w:p>
    <w:bookmarkEnd w:id="105"/>
    <w:bookmarkEnd w:id="106"/>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3.5 工程照管与成品、半成品保护</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承包人负责照管工程及工程相关的材料、工程设备的起始时间：</w:t>
      </w:r>
      <w:r>
        <w:rPr>
          <w:rFonts w:hint="eastAsia" w:ascii="宋体" w:hAnsi="宋体" w:eastAsia="宋体" w:cs="宋体"/>
          <w:sz w:val="32"/>
          <w:szCs w:val="32"/>
          <w:highlight w:val="none"/>
          <w:u w:val="single"/>
        </w:rPr>
        <w:t>已竣工工程未交付发包人之前，承包人应负责已完工程的保护工作，保护期间发生损坏，承包人自费予以修复。</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3.6 履约担保</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承包人是否提供履约担保：</w:t>
      </w:r>
      <w:r>
        <w:rPr>
          <w:rFonts w:hint="eastAsia" w:ascii="宋体" w:hAnsi="宋体" w:eastAsia="宋体" w:cs="宋体"/>
          <w:sz w:val="32"/>
          <w:szCs w:val="32"/>
          <w:highlight w:val="none"/>
          <w:u w:val="single"/>
          <w:lang w:val="en-US" w:eastAsia="zh-CN"/>
        </w:rPr>
        <w:t xml:space="preserve"> 无 </w:t>
      </w:r>
      <w:r>
        <w:rPr>
          <w:rFonts w:hint="eastAsia" w:ascii="宋体" w:hAnsi="宋体" w:eastAsia="宋体" w:cs="宋体"/>
          <w:sz w:val="32"/>
          <w:szCs w:val="32"/>
          <w:highlight w:val="none"/>
        </w:rPr>
        <w:t>。</w:t>
      </w:r>
    </w:p>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bookmarkStart w:id="107" w:name="_Toc351203637"/>
      <w:bookmarkStart w:id="108" w:name="_Toc296346664"/>
      <w:bookmarkStart w:id="109" w:name="_Toc297048349"/>
      <w:bookmarkStart w:id="110" w:name="_Toc297120463"/>
      <w:bookmarkStart w:id="111" w:name="_Toc296890991"/>
      <w:bookmarkStart w:id="112" w:name="_Toc296347162"/>
      <w:bookmarkStart w:id="113" w:name="_Toc296944502"/>
      <w:bookmarkStart w:id="114" w:name="_Toc292559872"/>
      <w:bookmarkStart w:id="115" w:name="_Toc296891203"/>
      <w:bookmarkStart w:id="116" w:name="_Toc292559367"/>
      <w:bookmarkStart w:id="117" w:name="_Toc296503163"/>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 工程质量</w:t>
      </w:r>
      <w:bookmarkEnd w:id="107"/>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118" w:name="_Toc351203638"/>
      <w:bookmarkStart w:id="119" w:name="_Toc304295527"/>
      <w:bookmarkStart w:id="120" w:name="_Toc300934949"/>
      <w:bookmarkStart w:id="121" w:name="_Toc312677997"/>
      <w:bookmarkStart w:id="122" w:name="_Toc318581164"/>
      <w:bookmarkStart w:id="123" w:name="_Toc297123496"/>
      <w:bookmarkStart w:id="124" w:name="_Toc297216155"/>
      <w:bookmarkStart w:id="125" w:name="_Toc303539106"/>
      <w:r>
        <w:rPr>
          <w:rFonts w:hint="eastAsia" w:ascii="宋体" w:hAnsi="宋体" w:eastAsia="宋体" w:cs="宋体"/>
          <w:sz w:val="32"/>
          <w:szCs w:val="32"/>
          <w:highlight w:val="none"/>
        </w:rPr>
        <w:t>4.1 质量要求</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4.1.1 特殊质量标准和要求：</w:t>
      </w:r>
      <w:r>
        <w:rPr>
          <w:rFonts w:hint="eastAsia" w:ascii="宋体" w:hAnsi="宋体" w:eastAsia="宋体" w:cs="宋体"/>
          <w:sz w:val="32"/>
          <w:szCs w:val="32"/>
          <w:highlight w:val="none"/>
          <w:u w:val="single"/>
        </w:rPr>
        <w:t>工程质量未达到质量目标，按合同价的1.5%处罚违约金。</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关于工程奖项的约定：</w:t>
      </w:r>
      <w:r>
        <w:rPr>
          <w:rFonts w:hint="eastAsia" w:ascii="宋体" w:hAnsi="宋体" w:eastAsia="宋体" w:cs="宋体"/>
          <w:sz w:val="32"/>
          <w:szCs w:val="32"/>
          <w:highlight w:val="none"/>
          <w:u w:val="single"/>
        </w:rPr>
        <w:t xml:space="preserve">   /   </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4.2 隐蔽工程检查</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4.2.1承包人提前通知发包人隐蔽工程检查的期限的约定：</w:t>
      </w:r>
      <w:r>
        <w:rPr>
          <w:rFonts w:hint="eastAsia" w:ascii="宋体" w:hAnsi="宋体" w:eastAsia="宋体" w:cs="宋体"/>
          <w:sz w:val="32"/>
          <w:szCs w:val="32"/>
          <w:highlight w:val="none"/>
          <w:u w:val="single"/>
        </w:rPr>
        <w:t>书面申报材料后24小时内</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发包人不能按时进行检查时，应提前</w:t>
      </w:r>
      <w:r>
        <w:rPr>
          <w:rFonts w:hint="eastAsia" w:ascii="宋体" w:hAnsi="宋体" w:eastAsia="宋体" w:cs="宋体"/>
          <w:sz w:val="32"/>
          <w:szCs w:val="32"/>
          <w:highlight w:val="none"/>
          <w:u w:val="single"/>
        </w:rPr>
        <w:t xml:space="preserve"> 24 </w:t>
      </w:r>
      <w:r>
        <w:rPr>
          <w:rFonts w:hint="eastAsia" w:ascii="宋体" w:hAnsi="宋体" w:eastAsia="宋体" w:cs="宋体"/>
          <w:sz w:val="32"/>
          <w:szCs w:val="32"/>
          <w:highlight w:val="none"/>
        </w:rPr>
        <w:t>小时提交书面延期要求。</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关于延期最长不得超过：</w:t>
      </w:r>
      <w:r>
        <w:rPr>
          <w:rFonts w:hint="eastAsia" w:ascii="宋体" w:hAnsi="宋体" w:eastAsia="宋体" w:cs="宋体"/>
          <w:sz w:val="32"/>
          <w:szCs w:val="32"/>
          <w:highlight w:val="none"/>
          <w:u w:val="single"/>
        </w:rPr>
        <w:t xml:space="preserve"> 48 </w:t>
      </w:r>
      <w:r>
        <w:rPr>
          <w:rFonts w:hint="eastAsia" w:ascii="宋体" w:hAnsi="宋体" w:eastAsia="宋体" w:cs="宋体"/>
          <w:sz w:val="32"/>
          <w:szCs w:val="32"/>
          <w:highlight w:val="none"/>
        </w:rPr>
        <w:t>小时。</w:t>
      </w:r>
    </w:p>
    <w:bookmarkEnd w:id="118"/>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5. 安全文明施工与环境保护</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5.1安全文明施工</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5.1.1 项目安全生产的达标目标及相应事项的约定：</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（1）承包人在施工期间须针对周边情况做好防尘降噪工作，应遵守《中华人民共和国安全生产法》及地方政府和有关部门对施工场地交通、噪声、污水、现场环境卫生和场外污染等管理规定并办理有关手续。</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（2）承包人须做好文明施工、安全生产，在施工过程中应完善文明施工措施，在施工过程中造成的安全事故由承包人承担，施工过程中如发生安全事故，则与发包人无关。</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关于编制施工场地治安管理计划的约定：</w:t>
      </w:r>
      <w:r>
        <w:rPr>
          <w:rFonts w:hint="eastAsia" w:ascii="宋体" w:hAnsi="宋体" w:eastAsia="宋体" w:cs="宋体"/>
          <w:sz w:val="32"/>
          <w:szCs w:val="32"/>
          <w:highlight w:val="none"/>
          <w:u w:val="single"/>
        </w:rPr>
        <w:t>/</w:t>
      </w:r>
    </w:p>
    <w:bookmarkEnd w:id="119"/>
    <w:bookmarkEnd w:id="120"/>
    <w:bookmarkEnd w:id="121"/>
    <w:bookmarkEnd w:id="122"/>
    <w:bookmarkEnd w:id="123"/>
    <w:bookmarkEnd w:id="124"/>
    <w:bookmarkEnd w:id="125"/>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126" w:name="_Toc351203639"/>
      <w:r>
        <w:rPr>
          <w:rFonts w:hint="eastAsia" w:ascii="宋体" w:hAnsi="宋体" w:eastAsia="宋体" w:cs="宋体"/>
          <w:sz w:val="32"/>
          <w:szCs w:val="32"/>
          <w:highlight w:val="none"/>
        </w:rPr>
        <w:t>5.1.3 文明施工</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合同当事人对文明施工的要求：</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一是防止抛洒滴漏。运输建筑材料、垃圾和工程渣土的车辆，应当采取有效措施，防止建筑材料、垃圾和工程渣土飞扬、洒落或者流溢，保证行驶途中不污染道路和环境。</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二是施工过程中做到不扰民。禁止使用噪音超标的施工机械，降低噪音污染，并杜绝夜间违规施工</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三是加强施工现场管理。废料、垃圾及不再需要的临时设施应及时清除、拆除及外运。承包人必须严格按照当地建设主管部门的要求，有效控制工程施工扬尘，如发生投诉及主管部门追责，每次由承包人向发包人支付1万元违约金，从承包人工程款中直接扣除。</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lang w:val="en-US" w:eastAsia="zh-CN"/>
        </w:rPr>
      </w:pPr>
      <w:r>
        <w:rPr>
          <w:rFonts w:hint="eastAsia" w:ascii="宋体" w:hAnsi="宋体" w:eastAsia="宋体" w:cs="宋体"/>
          <w:sz w:val="32"/>
          <w:szCs w:val="32"/>
          <w:highlight w:val="none"/>
        </w:rPr>
        <w:t>5.1.4 关于安全文明施工费支付比例和支付期限的约定：</w:t>
      </w:r>
      <w:r>
        <w:rPr>
          <w:rFonts w:hint="eastAsia" w:ascii="宋体" w:hAnsi="宋体" w:eastAsia="宋体" w:cs="宋体"/>
          <w:sz w:val="32"/>
          <w:szCs w:val="32"/>
          <w:highlight w:val="none"/>
          <w:u w:val="single"/>
          <w:lang w:val="en-US" w:eastAsia="zh-CN"/>
        </w:rPr>
        <w:t>/</w:t>
      </w:r>
    </w:p>
    <w:bookmarkEnd w:id="126"/>
    <w:p>
      <w:pPr>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6. 工期和进度</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6.1 施工组织设计</w:t>
      </w:r>
    </w:p>
    <w:p>
      <w:pPr>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6.1.</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 xml:space="preserve"> 施工组织设计的提交和修改</w:t>
      </w:r>
    </w:p>
    <w:p>
      <w:pPr>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承包人提交详细施工组织设计的期限的约定：</w:t>
      </w:r>
      <w:r>
        <w:rPr>
          <w:rFonts w:hint="eastAsia" w:ascii="宋体" w:hAnsi="宋体" w:eastAsia="宋体" w:cs="宋体"/>
          <w:sz w:val="32"/>
          <w:szCs w:val="32"/>
          <w:highlight w:val="none"/>
          <w:u w:val="single"/>
        </w:rPr>
        <w:t>开工前7天内提供施工进度总计划和有针对性的施工组织设计。</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发包人在收到详细的施工组织设计后确认或提出修改意见的期限：</w:t>
      </w:r>
      <w:r>
        <w:rPr>
          <w:rFonts w:hint="eastAsia" w:ascii="宋体" w:hAnsi="宋体" w:eastAsia="宋体" w:cs="宋体"/>
          <w:sz w:val="32"/>
          <w:szCs w:val="32"/>
          <w:highlight w:val="none"/>
          <w:u w:val="single"/>
        </w:rPr>
        <w:t>自发包人收到承包人报送的施工组织设计后7天内</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127" w:name="_Toc312678005"/>
      <w:bookmarkStart w:id="128" w:name="_Toc303539123"/>
      <w:bookmarkStart w:id="129" w:name="_Toc300934966"/>
      <w:bookmarkStart w:id="130" w:name="_Toc297123514"/>
      <w:bookmarkStart w:id="131" w:name="_Toc304295541"/>
      <w:bookmarkStart w:id="132" w:name="_Toc297216173"/>
      <w:bookmarkStart w:id="133" w:name="_Toc312677479"/>
      <w:r>
        <w:rPr>
          <w:rFonts w:hint="eastAsia" w:ascii="宋体" w:hAnsi="宋体" w:eastAsia="宋体" w:cs="宋体"/>
          <w:sz w:val="32"/>
          <w:szCs w:val="32"/>
          <w:highlight w:val="none"/>
        </w:rPr>
        <w:t>6.2 施工进度计划</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6.2.</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 xml:space="preserve"> 施工进度计划的修订</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发包人在收到修订的施工进度计划后确认或提出修改意见的期限：</w:t>
      </w:r>
      <w:r>
        <w:rPr>
          <w:rFonts w:hint="eastAsia" w:ascii="宋体" w:hAnsi="宋体" w:eastAsia="宋体" w:cs="宋体"/>
          <w:sz w:val="32"/>
          <w:szCs w:val="32"/>
          <w:highlight w:val="none"/>
          <w:u w:val="single"/>
        </w:rPr>
        <w:t>自发包人收到承包人报送的相关进度计划后7天内。</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6.3 开工</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6.3.1 开工准备</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关于承包人提交工程开工报审表的期限：</w:t>
      </w:r>
      <w:r>
        <w:rPr>
          <w:rFonts w:hint="eastAsia" w:ascii="宋体" w:hAnsi="宋体" w:eastAsia="宋体" w:cs="宋体"/>
          <w:sz w:val="32"/>
          <w:szCs w:val="32"/>
          <w:highlight w:val="none"/>
          <w:u w:val="single"/>
        </w:rPr>
        <w:t>在工程准备工作完成后，计划开工日期前7天提交开工报审表。</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关于发包人应完成的其他开工准备工作及期限：</w:t>
      </w:r>
      <w:r>
        <w:rPr>
          <w:rFonts w:hint="eastAsia" w:ascii="宋体" w:hAnsi="宋体" w:eastAsia="宋体" w:cs="宋体"/>
          <w:sz w:val="32"/>
          <w:szCs w:val="32"/>
          <w:highlight w:val="none"/>
          <w:u w:val="single"/>
        </w:rPr>
        <w:t>计划开工日期前7天。</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关于承包人应完成的其他开工准备工作及期限：</w:t>
      </w:r>
      <w:r>
        <w:rPr>
          <w:rFonts w:hint="eastAsia" w:ascii="宋体" w:hAnsi="宋体" w:eastAsia="宋体" w:cs="宋体"/>
          <w:sz w:val="32"/>
          <w:szCs w:val="32"/>
          <w:highlight w:val="none"/>
          <w:u w:val="single"/>
        </w:rPr>
        <w:t>计划开工日期前7天。</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6.3.2开工通知：</w:t>
      </w:r>
      <w:r>
        <w:rPr>
          <w:rFonts w:hint="eastAsia" w:ascii="宋体" w:hAnsi="宋体" w:eastAsia="宋体" w:cs="宋体"/>
          <w:sz w:val="32"/>
          <w:szCs w:val="32"/>
          <w:highlight w:val="none"/>
          <w:u w:val="single"/>
        </w:rPr>
        <w:t xml:space="preserve">以发包人开工通知为准 </w:t>
      </w:r>
      <w:r>
        <w:rPr>
          <w:rFonts w:hint="eastAsia" w:ascii="宋体" w:hAnsi="宋体" w:eastAsia="宋体" w:cs="宋体"/>
          <w:sz w:val="32"/>
          <w:szCs w:val="32"/>
          <w:highlight w:val="none"/>
        </w:rPr>
        <w:t xml:space="preserve"> 。</w:t>
      </w:r>
    </w:p>
    <w:bookmarkEnd w:id="127"/>
    <w:bookmarkEnd w:id="128"/>
    <w:bookmarkEnd w:id="129"/>
    <w:bookmarkEnd w:id="130"/>
    <w:bookmarkEnd w:id="131"/>
    <w:bookmarkEnd w:id="132"/>
    <w:bookmarkEnd w:id="133"/>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6.4 测量放线</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6.4.1发包人向承包人提供测量基准点、基准线和水准点及其书面资料的期限：</w:t>
      </w:r>
      <w:r>
        <w:rPr>
          <w:rFonts w:hint="eastAsia" w:ascii="宋体" w:hAnsi="宋体" w:eastAsia="宋体" w:cs="宋体"/>
          <w:sz w:val="32"/>
          <w:szCs w:val="32"/>
          <w:highlight w:val="none"/>
          <w:u w:val="single"/>
        </w:rPr>
        <w:t>根据工程实际进度。</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134" w:name="_Toc304295546"/>
      <w:bookmarkStart w:id="135" w:name="_Toc312678010"/>
      <w:bookmarkStart w:id="136" w:name="_Toc300934968"/>
      <w:bookmarkStart w:id="137" w:name="_Toc312677484"/>
      <w:bookmarkStart w:id="138" w:name="_Toc297216175"/>
      <w:bookmarkStart w:id="139" w:name="_Toc303539125"/>
      <w:bookmarkStart w:id="140" w:name="_Toc297123516"/>
      <w:r>
        <w:rPr>
          <w:rFonts w:hint="eastAsia" w:ascii="宋体" w:hAnsi="宋体" w:eastAsia="宋体" w:cs="宋体"/>
          <w:sz w:val="32"/>
          <w:szCs w:val="32"/>
          <w:highlight w:val="none"/>
        </w:rPr>
        <w:t>6.5 工期延误</w:t>
      </w:r>
    </w:p>
    <w:bookmarkEnd w:id="134"/>
    <w:bookmarkEnd w:id="135"/>
    <w:bookmarkEnd w:id="136"/>
    <w:bookmarkEnd w:id="137"/>
    <w:bookmarkEnd w:id="138"/>
    <w:bookmarkEnd w:id="139"/>
    <w:bookmarkEnd w:id="140"/>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6.5.1 因发包人原因导致工期延误</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因发包人原因导致工期延误的其他情形：</w:t>
      </w:r>
      <w:r>
        <w:rPr>
          <w:rFonts w:hint="eastAsia" w:ascii="宋体" w:hAnsi="宋体" w:eastAsia="宋体" w:cs="宋体"/>
          <w:sz w:val="32"/>
          <w:szCs w:val="32"/>
          <w:highlight w:val="none"/>
          <w:u w:val="single"/>
        </w:rPr>
        <w:t>由于发包人原因和国家行政相关要求的停工（非承包方的责任），经发包人同意，工期可顺延。</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141" w:name="_Toc312677486"/>
      <w:bookmarkStart w:id="142" w:name="_Toc312678012"/>
      <w:bookmarkStart w:id="143" w:name="_Toc318581169"/>
      <w:bookmarkStart w:id="144" w:name="_Toc304295548"/>
      <w:bookmarkStart w:id="145" w:name="_Toc297123518"/>
      <w:bookmarkStart w:id="146" w:name="_Toc297216177"/>
      <w:bookmarkStart w:id="147" w:name="_Toc303539127"/>
      <w:bookmarkStart w:id="148" w:name="_Toc300934970"/>
      <w:r>
        <w:rPr>
          <w:rFonts w:hint="eastAsia" w:ascii="宋体" w:hAnsi="宋体" w:eastAsia="宋体" w:cs="宋体"/>
          <w:sz w:val="32"/>
          <w:szCs w:val="32"/>
          <w:highlight w:val="none"/>
        </w:rPr>
        <w:t>6.5.2 因承包人原因导致工期延误</w:t>
      </w:r>
    </w:p>
    <w:bookmarkEnd w:id="141"/>
    <w:bookmarkEnd w:id="142"/>
    <w:bookmarkEnd w:id="143"/>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trike/>
          <w:sz w:val="32"/>
          <w:szCs w:val="32"/>
          <w:highlight w:val="none"/>
          <w:u w:val="single"/>
        </w:rPr>
      </w:pPr>
      <w:r>
        <w:rPr>
          <w:rFonts w:hint="eastAsia" w:ascii="宋体" w:hAnsi="宋体" w:eastAsia="宋体" w:cs="宋体"/>
          <w:sz w:val="32"/>
          <w:szCs w:val="32"/>
          <w:highlight w:val="none"/>
        </w:rPr>
        <w:t>因</w:t>
      </w:r>
      <w:bookmarkStart w:id="149" w:name="_Toc312677487"/>
      <w:bookmarkStart w:id="150" w:name="_Toc312678013"/>
      <w:bookmarkStart w:id="151" w:name="_Toc318581170"/>
      <w:r>
        <w:rPr>
          <w:rFonts w:hint="eastAsia" w:ascii="宋体" w:hAnsi="宋体" w:eastAsia="宋体" w:cs="宋体"/>
          <w:sz w:val="32"/>
          <w:szCs w:val="32"/>
          <w:highlight w:val="none"/>
        </w:rPr>
        <w:t>承包人原因造成工期延误，逾期竣工违约金的计算方法为：</w:t>
      </w:r>
      <w:bookmarkEnd w:id="144"/>
      <w:bookmarkEnd w:id="145"/>
      <w:bookmarkEnd w:id="146"/>
      <w:bookmarkEnd w:id="147"/>
      <w:bookmarkEnd w:id="148"/>
      <w:bookmarkEnd w:id="149"/>
      <w:bookmarkEnd w:id="150"/>
      <w:r>
        <w:rPr>
          <w:rFonts w:hint="eastAsia" w:ascii="宋体" w:hAnsi="宋体" w:eastAsia="宋体" w:cs="宋体"/>
          <w:sz w:val="32"/>
          <w:szCs w:val="32"/>
          <w:highlight w:val="none"/>
          <w:u w:val="single"/>
        </w:rPr>
        <w:t>实际开工时间以发包人书面通知开工时间为准。若延误工期：每天按合同价款的万分之二计违约金。</w:t>
      </w:r>
    </w:p>
    <w:bookmarkEnd w:id="151"/>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因承包人原因造成工期延误，逾</w:t>
      </w:r>
      <w:bookmarkStart w:id="152" w:name="_Toc318581171"/>
      <w:bookmarkStart w:id="153" w:name="_Toc312678014"/>
      <w:r>
        <w:rPr>
          <w:rFonts w:hint="eastAsia" w:ascii="宋体" w:hAnsi="宋体" w:eastAsia="宋体" w:cs="宋体"/>
          <w:sz w:val="32"/>
          <w:szCs w:val="32"/>
          <w:highlight w:val="none"/>
        </w:rPr>
        <w:t>期竣工违约金的上限：</w:t>
      </w:r>
      <w:r>
        <w:rPr>
          <w:rFonts w:hint="eastAsia" w:ascii="宋体" w:hAnsi="宋体" w:eastAsia="宋体" w:cs="宋体"/>
          <w:sz w:val="32"/>
          <w:szCs w:val="32"/>
          <w:highlight w:val="none"/>
          <w:u w:val="single"/>
        </w:rPr>
        <w:t>合同价的5%。</w:t>
      </w:r>
    </w:p>
    <w:bookmarkEnd w:id="152"/>
    <w:bookmarkEnd w:id="153"/>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154" w:name="_Toc300934971"/>
      <w:bookmarkStart w:id="155" w:name="_Toc304295549"/>
      <w:bookmarkStart w:id="156" w:name="_Toc297123519"/>
      <w:bookmarkStart w:id="157" w:name="_Toc297216178"/>
      <w:bookmarkStart w:id="158" w:name="_Toc312678015"/>
      <w:bookmarkStart w:id="159" w:name="_Toc303539128"/>
      <w:r>
        <w:rPr>
          <w:rFonts w:hint="eastAsia" w:ascii="宋体" w:hAnsi="宋体" w:eastAsia="宋体" w:cs="宋体"/>
          <w:sz w:val="32"/>
          <w:szCs w:val="32"/>
          <w:highlight w:val="none"/>
        </w:rPr>
        <w:t>6.6 不</w:t>
      </w:r>
      <w:bookmarkEnd w:id="154"/>
      <w:bookmarkEnd w:id="155"/>
      <w:bookmarkEnd w:id="156"/>
      <w:bookmarkEnd w:id="157"/>
      <w:bookmarkEnd w:id="158"/>
      <w:bookmarkEnd w:id="159"/>
      <w:r>
        <w:rPr>
          <w:rFonts w:hint="eastAsia" w:ascii="宋体" w:hAnsi="宋体" w:eastAsia="宋体" w:cs="宋体"/>
          <w:sz w:val="32"/>
          <w:szCs w:val="32"/>
          <w:highlight w:val="none"/>
        </w:rPr>
        <w:t>利物质条件</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160" w:name="_Toc303539129"/>
      <w:bookmarkStart w:id="161" w:name="_Toc297216179"/>
      <w:bookmarkStart w:id="162" w:name="_Toc304295550"/>
      <w:bookmarkStart w:id="163" w:name="_Toc300934972"/>
      <w:bookmarkStart w:id="164" w:name="_Toc318581172"/>
      <w:bookmarkStart w:id="165" w:name="_Toc312678016"/>
      <w:bookmarkStart w:id="166" w:name="_Toc297123520"/>
      <w:r>
        <w:rPr>
          <w:rFonts w:hint="eastAsia" w:ascii="宋体" w:hAnsi="宋体" w:eastAsia="宋体" w:cs="宋体"/>
          <w:sz w:val="32"/>
          <w:szCs w:val="32"/>
          <w:highlight w:val="none"/>
        </w:rPr>
        <w:t>不利物质条件的其他情形和有关约定：</w:t>
      </w:r>
      <w:r>
        <w:rPr>
          <w:rFonts w:hint="eastAsia" w:ascii="宋体" w:hAnsi="宋体" w:eastAsia="宋体" w:cs="宋体"/>
          <w:sz w:val="32"/>
          <w:szCs w:val="32"/>
          <w:highlight w:val="none"/>
          <w:u w:val="single"/>
        </w:rPr>
        <w:t>按通用条款执行</w:t>
      </w:r>
      <w:r>
        <w:rPr>
          <w:rFonts w:hint="eastAsia" w:ascii="宋体" w:hAnsi="宋体" w:eastAsia="宋体" w:cs="宋体"/>
          <w:sz w:val="32"/>
          <w:szCs w:val="32"/>
          <w:highlight w:val="none"/>
        </w:rPr>
        <w:t>。</w:t>
      </w:r>
    </w:p>
    <w:bookmarkEnd w:id="160"/>
    <w:bookmarkEnd w:id="161"/>
    <w:bookmarkEnd w:id="162"/>
    <w:bookmarkEnd w:id="163"/>
    <w:bookmarkEnd w:id="164"/>
    <w:bookmarkEnd w:id="165"/>
    <w:bookmarkEnd w:id="166"/>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167" w:name="_Toc304295551"/>
      <w:bookmarkStart w:id="168" w:name="_Toc297123521"/>
      <w:bookmarkStart w:id="169" w:name="_Toc300934973"/>
      <w:bookmarkStart w:id="170" w:name="_Toc312678017"/>
      <w:bookmarkStart w:id="171" w:name="_Toc303539130"/>
      <w:bookmarkStart w:id="172" w:name="_Toc297216180"/>
      <w:r>
        <w:rPr>
          <w:rFonts w:hint="eastAsia" w:ascii="宋体" w:hAnsi="宋体" w:eastAsia="宋体" w:cs="宋体"/>
          <w:sz w:val="32"/>
          <w:szCs w:val="32"/>
          <w:highlight w:val="none"/>
        </w:rPr>
        <w:t>6.7异常恶劣的气候条件</w:t>
      </w:r>
    </w:p>
    <w:bookmarkEnd w:id="167"/>
    <w:bookmarkEnd w:id="168"/>
    <w:bookmarkEnd w:id="169"/>
    <w:bookmarkEnd w:id="170"/>
    <w:bookmarkEnd w:id="171"/>
    <w:bookmarkEnd w:id="172"/>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发包人和承包人同意以下情形视为异常恶劣的气候条件：</w:t>
      </w:r>
      <w:r>
        <w:rPr>
          <w:rFonts w:hint="eastAsia" w:ascii="宋体" w:hAnsi="宋体" w:eastAsia="宋体" w:cs="宋体"/>
          <w:sz w:val="32"/>
          <w:szCs w:val="32"/>
          <w:highlight w:val="none"/>
          <w:u w:val="single"/>
        </w:rPr>
        <w:t>按通用条款执行</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6.8 提前竣工的奖励</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6.8.</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提前竣工的奖励：/</w:t>
      </w:r>
    </w:p>
    <w:p>
      <w:pPr>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lang w:val="en-US" w:eastAsia="zh-CN"/>
        </w:rPr>
        <w:t>7</w:t>
      </w:r>
      <w:r>
        <w:rPr>
          <w:rFonts w:hint="eastAsia" w:ascii="宋体" w:hAnsi="宋体" w:eastAsia="宋体" w:cs="宋体"/>
          <w:b/>
          <w:sz w:val="32"/>
          <w:szCs w:val="32"/>
          <w:highlight w:val="none"/>
        </w:rPr>
        <w:t>．材料与设备：</w:t>
      </w:r>
      <w:r>
        <w:rPr>
          <w:rFonts w:hint="eastAsia" w:ascii="宋体" w:hAnsi="宋体" w:eastAsia="宋体" w:cs="宋体"/>
          <w:b/>
          <w:sz w:val="32"/>
          <w:szCs w:val="32"/>
          <w:highlight w:val="none"/>
          <w:u w:val="single"/>
        </w:rPr>
        <w:t>/</w:t>
      </w:r>
      <w:bookmarkEnd w:id="108"/>
      <w:bookmarkEnd w:id="109"/>
      <w:bookmarkEnd w:id="110"/>
      <w:bookmarkEnd w:id="111"/>
      <w:bookmarkEnd w:id="112"/>
      <w:bookmarkEnd w:id="113"/>
      <w:bookmarkEnd w:id="114"/>
      <w:bookmarkEnd w:id="115"/>
      <w:bookmarkEnd w:id="116"/>
      <w:bookmarkEnd w:id="117"/>
      <w:bookmarkStart w:id="173" w:name="_Toc296891213"/>
      <w:bookmarkStart w:id="174" w:name="_Toc296347172"/>
      <w:bookmarkStart w:id="175" w:name="_Toc296944512"/>
      <w:bookmarkStart w:id="176" w:name="_Toc296891001"/>
      <w:bookmarkStart w:id="177" w:name="_Toc267251427"/>
      <w:bookmarkStart w:id="178" w:name="_Toc296503173"/>
      <w:bookmarkStart w:id="179" w:name="_Toc296346674"/>
      <w:bookmarkStart w:id="180" w:name="_Toc292559883"/>
      <w:bookmarkStart w:id="181" w:name="_Toc267251428"/>
      <w:bookmarkStart w:id="182" w:name="_Toc292559378"/>
      <w:bookmarkStart w:id="183" w:name="_Toc297048359"/>
      <w:bookmarkStart w:id="184" w:name="_Toc297120473"/>
      <w:bookmarkStart w:id="185" w:name="_Toc351203642"/>
    </w:p>
    <w:bookmarkEnd w:id="173"/>
    <w:bookmarkEnd w:id="174"/>
    <w:bookmarkEnd w:id="175"/>
    <w:bookmarkEnd w:id="176"/>
    <w:bookmarkEnd w:id="177"/>
    <w:bookmarkEnd w:id="178"/>
    <w:bookmarkEnd w:id="179"/>
    <w:bookmarkEnd w:id="180"/>
    <w:bookmarkEnd w:id="181"/>
    <w:bookmarkEnd w:id="182"/>
    <w:bookmarkEnd w:id="183"/>
    <w:bookmarkEnd w:id="184"/>
    <w:p>
      <w:pPr>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sz w:val="32"/>
          <w:szCs w:val="32"/>
          <w:highlight w:val="none"/>
        </w:rPr>
      </w:pPr>
      <w:bookmarkStart w:id="186" w:name="_Toc296346694"/>
      <w:bookmarkStart w:id="187" w:name="_Toc297120493"/>
      <w:bookmarkStart w:id="188" w:name="_Toc296347192"/>
      <w:bookmarkStart w:id="189" w:name="_Toc300934989"/>
      <w:bookmarkStart w:id="190" w:name="_Toc296891233"/>
      <w:bookmarkStart w:id="191" w:name="_Toc292559398"/>
      <w:bookmarkStart w:id="192" w:name="_Toc296503193"/>
      <w:bookmarkStart w:id="193" w:name="_Toc303539146"/>
      <w:bookmarkStart w:id="194" w:name="_Toc297048379"/>
      <w:bookmarkStart w:id="195" w:name="_Toc296891021"/>
      <w:bookmarkStart w:id="196" w:name="_Toc297216199"/>
      <w:bookmarkStart w:id="197" w:name="_Toc297123540"/>
      <w:bookmarkStart w:id="198" w:name="_Toc292559903"/>
      <w:bookmarkStart w:id="199" w:name="_Toc304295566"/>
      <w:bookmarkStart w:id="200" w:name="_Toc296944532"/>
      <w:bookmarkStart w:id="201" w:name="_Toc312677499"/>
      <w:bookmarkStart w:id="202" w:name="_Toc312678025"/>
      <w:bookmarkStart w:id="203" w:name="_Toc267251433"/>
      <w:bookmarkStart w:id="204" w:name="_Toc267251441"/>
      <w:bookmarkStart w:id="205" w:name="_Toc267251439"/>
      <w:bookmarkStart w:id="206" w:name="_Toc267251435"/>
      <w:bookmarkStart w:id="207" w:name="_Toc267251437"/>
      <w:bookmarkStart w:id="208" w:name="_Toc267251440"/>
      <w:bookmarkStart w:id="209" w:name="_Toc267251442"/>
      <w:r>
        <w:rPr>
          <w:rFonts w:hint="eastAsia" w:ascii="宋体" w:hAnsi="宋体" w:eastAsia="宋体" w:cs="宋体"/>
          <w:b/>
          <w:sz w:val="32"/>
          <w:szCs w:val="32"/>
          <w:highlight w:val="none"/>
          <w:lang w:val="en-US" w:eastAsia="zh-CN"/>
        </w:rPr>
        <w:t>8</w:t>
      </w:r>
      <w:r>
        <w:rPr>
          <w:rFonts w:hint="eastAsia" w:ascii="宋体" w:hAnsi="宋体" w:eastAsia="宋体" w:cs="宋体"/>
          <w:b/>
          <w:sz w:val="32"/>
          <w:szCs w:val="32"/>
          <w:highlight w:val="none"/>
        </w:rPr>
        <w:t>. 变更</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bookmarkEnd w:id="201"/>
    <w:bookmarkEnd w:id="202"/>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210" w:name="_Toc296891022"/>
      <w:bookmarkStart w:id="211" w:name="_Toc297048380"/>
      <w:bookmarkStart w:id="212" w:name="_Toc292559399"/>
      <w:bookmarkStart w:id="213" w:name="_Toc300934990"/>
      <w:bookmarkStart w:id="214" w:name="_Toc297120494"/>
      <w:bookmarkStart w:id="215" w:name="_Toc296503194"/>
      <w:bookmarkStart w:id="216" w:name="_Toc312678026"/>
      <w:bookmarkStart w:id="217" w:name="_Toc297123541"/>
      <w:bookmarkStart w:id="218" w:name="_Toc297216200"/>
      <w:bookmarkStart w:id="219" w:name="_Toc303539147"/>
      <w:bookmarkStart w:id="220" w:name="_Toc296346695"/>
      <w:bookmarkStart w:id="221" w:name="_Toc312677500"/>
      <w:bookmarkStart w:id="222" w:name="_Toc296891234"/>
      <w:bookmarkStart w:id="223" w:name="_Toc292559904"/>
      <w:bookmarkStart w:id="224" w:name="_Toc296347193"/>
      <w:bookmarkStart w:id="225" w:name="_Toc296944533"/>
      <w:bookmarkStart w:id="226" w:name="_Toc304295567"/>
      <w:bookmarkStart w:id="227" w:name="_Toc351203643"/>
      <w:r>
        <w:rPr>
          <w:rFonts w:hint="eastAsia" w:ascii="宋体" w:hAnsi="宋体" w:eastAsia="宋体" w:cs="宋体"/>
          <w:sz w:val="32"/>
          <w:szCs w:val="32"/>
          <w:highlight w:val="none"/>
        </w:rPr>
        <w:t>8.1变更的范围</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关于变更的范围的约定：</w:t>
      </w:r>
      <w:r>
        <w:rPr>
          <w:rFonts w:hint="eastAsia" w:ascii="宋体" w:hAnsi="宋体" w:eastAsia="宋体" w:cs="宋体"/>
          <w:sz w:val="32"/>
          <w:szCs w:val="32"/>
          <w:highlight w:val="none"/>
          <w:u w:val="single"/>
        </w:rPr>
        <w:t>按发包人要求执行</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8.2 变更估价</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8.2.1 变更估价原则</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关于变更估价的约定: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（1）变更项目清单计价工程量结算方法：由承包人提出，经发包人审定后的数量进行结算。</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2）变更项目清单计价综合单价的结算方法：投标报价中已有适用于变更工程的价格，按投标的综合单价结算；投标报价中无适用或类似于变更工程的价格，由承包人提出适当的变更价格（承包人根据江苏省相关工程计价定额编制并按投标时的下浮幅度优惠让利后结算）。</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8.3 暂列金额</w:t>
      </w:r>
    </w:p>
    <w:p>
      <w:pPr>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合同当事人关于暂列金额使用的约定：</w:t>
      </w:r>
      <w:r>
        <w:rPr>
          <w:rFonts w:hint="eastAsia" w:ascii="宋体" w:hAnsi="宋体" w:eastAsia="宋体" w:cs="宋体"/>
          <w:sz w:val="32"/>
          <w:szCs w:val="32"/>
          <w:highlight w:val="none"/>
          <w:u w:val="single"/>
        </w:rPr>
        <w:t>暂列金额只能按照发包人的指示使用，并对合同价格进行相应调整。</w:t>
      </w:r>
    </w:p>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9</w:t>
      </w:r>
      <w:r>
        <w:rPr>
          <w:rFonts w:hint="eastAsia" w:ascii="宋体" w:hAnsi="宋体" w:eastAsia="宋体" w:cs="宋体"/>
          <w:b/>
          <w:bCs/>
          <w:sz w:val="32"/>
          <w:szCs w:val="32"/>
          <w:highlight w:val="none"/>
        </w:rPr>
        <w:t>. 价格调整</w:t>
      </w:r>
      <w:bookmarkEnd w:id="227"/>
    </w:p>
    <w:bookmarkEnd w:id="203"/>
    <w:bookmarkEnd w:id="204"/>
    <w:bookmarkEnd w:id="205"/>
    <w:bookmarkEnd w:id="206"/>
    <w:bookmarkEnd w:id="207"/>
    <w:bookmarkEnd w:id="208"/>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228" w:name="_Toc292559911"/>
      <w:bookmarkStart w:id="229" w:name="_Toc296944540"/>
      <w:bookmarkStart w:id="230" w:name="_Toc296347200"/>
      <w:bookmarkStart w:id="231" w:name="_Toc296891029"/>
      <w:bookmarkStart w:id="232" w:name="_Toc297216209"/>
      <w:bookmarkStart w:id="233" w:name="_Toc292559406"/>
      <w:bookmarkStart w:id="234" w:name="_Toc303539157"/>
      <w:bookmarkStart w:id="235" w:name="_Toc297048387"/>
      <w:bookmarkStart w:id="236" w:name="_Toc296891241"/>
      <w:bookmarkStart w:id="237" w:name="_Toc300935000"/>
      <w:bookmarkStart w:id="238" w:name="_Toc297123550"/>
      <w:bookmarkStart w:id="239" w:name="_Toc297120501"/>
      <w:bookmarkStart w:id="240" w:name="_Toc304295577"/>
      <w:bookmarkStart w:id="241" w:name="_Toc296346702"/>
      <w:bookmarkStart w:id="242" w:name="_Toc296503201"/>
      <w:bookmarkStart w:id="243" w:name="_Toc312678039"/>
      <w:bookmarkStart w:id="244" w:name="_Toc296891033"/>
      <w:bookmarkStart w:id="245" w:name="_Toc292559410"/>
      <w:bookmarkStart w:id="246" w:name="_Toc296347204"/>
      <w:bookmarkStart w:id="247" w:name="_Toc297048391"/>
      <w:bookmarkStart w:id="248" w:name="_Toc296944544"/>
      <w:bookmarkStart w:id="249" w:name="_Toc296891245"/>
      <w:bookmarkStart w:id="250" w:name="_Toc296346706"/>
      <w:bookmarkStart w:id="251" w:name="_Toc297120505"/>
      <w:bookmarkStart w:id="252" w:name="_Toc292559915"/>
      <w:bookmarkStart w:id="253" w:name="_Toc296503205"/>
      <w:bookmarkStart w:id="254" w:name="_Toc351203644"/>
      <w:bookmarkStart w:id="255" w:name="_Toc297216211"/>
      <w:bookmarkStart w:id="256" w:name="_Toc312678040"/>
      <w:bookmarkStart w:id="257" w:name="_Toc300935002"/>
      <w:bookmarkStart w:id="258" w:name="_Toc303539159"/>
      <w:bookmarkStart w:id="259" w:name="_Toc297123552"/>
      <w:bookmarkStart w:id="260" w:name="_Toc304295579"/>
      <w:r>
        <w:rPr>
          <w:rFonts w:hint="eastAsia" w:ascii="宋体" w:hAnsi="宋体" w:eastAsia="宋体" w:cs="宋体"/>
          <w:sz w:val="32"/>
          <w:szCs w:val="32"/>
          <w:highlight w:val="none"/>
        </w:rPr>
        <w:t>9.1 市场价格波动引起的调整</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市场价格波动是否调整合同价格的约定：</w:t>
      </w:r>
      <w:r>
        <w:rPr>
          <w:rFonts w:hint="eastAsia" w:ascii="宋体" w:hAnsi="宋体" w:eastAsia="宋体" w:cs="宋体"/>
          <w:sz w:val="32"/>
          <w:szCs w:val="32"/>
          <w:highlight w:val="none"/>
          <w:u w:val="single"/>
        </w:rPr>
        <w:t>不调整</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w:t>
      </w:r>
      <w:r>
        <w:rPr>
          <w:rFonts w:hint="eastAsia" w:ascii="宋体" w:hAnsi="宋体" w:eastAsia="宋体" w:cs="宋体"/>
          <w:b/>
          <w:bCs/>
          <w:sz w:val="32"/>
          <w:szCs w:val="32"/>
          <w:highlight w:val="none"/>
          <w:lang w:val="en-US" w:eastAsia="zh-CN"/>
        </w:rPr>
        <w:t>0</w:t>
      </w:r>
      <w:r>
        <w:rPr>
          <w:rFonts w:hint="eastAsia" w:ascii="宋体" w:hAnsi="宋体" w:eastAsia="宋体" w:cs="宋体"/>
          <w:b/>
          <w:bCs/>
          <w:sz w:val="32"/>
          <w:szCs w:val="32"/>
          <w:highlight w:val="none"/>
        </w:rPr>
        <w:t xml:space="preserve">. </w:t>
      </w:r>
      <w:bookmarkEnd w:id="244"/>
      <w:bookmarkEnd w:id="245"/>
      <w:bookmarkEnd w:id="246"/>
      <w:bookmarkEnd w:id="247"/>
      <w:bookmarkEnd w:id="248"/>
      <w:bookmarkEnd w:id="249"/>
      <w:bookmarkEnd w:id="250"/>
      <w:bookmarkEnd w:id="251"/>
      <w:bookmarkEnd w:id="252"/>
      <w:bookmarkEnd w:id="253"/>
      <w:r>
        <w:rPr>
          <w:rFonts w:hint="eastAsia" w:ascii="宋体" w:hAnsi="宋体" w:eastAsia="宋体" w:cs="宋体"/>
          <w:b/>
          <w:bCs/>
          <w:sz w:val="32"/>
          <w:szCs w:val="32"/>
          <w:highlight w:val="none"/>
        </w:rPr>
        <w:t>合同价格、计量与支付</w:t>
      </w:r>
      <w:bookmarkEnd w:id="254"/>
    </w:p>
    <w:bookmarkEnd w:id="209"/>
    <w:bookmarkEnd w:id="255"/>
    <w:bookmarkEnd w:id="256"/>
    <w:bookmarkEnd w:id="257"/>
    <w:bookmarkEnd w:id="258"/>
    <w:bookmarkEnd w:id="259"/>
    <w:bookmarkEnd w:id="260"/>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261" w:name="_Toc303539172"/>
      <w:bookmarkStart w:id="262" w:name="_Toc296503219"/>
      <w:bookmarkStart w:id="263" w:name="_Toc297120519"/>
      <w:bookmarkStart w:id="264" w:name="_Toc296891259"/>
      <w:bookmarkStart w:id="265" w:name="_Toc292559424"/>
      <w:bookmarkStart w:id="266" w:name="_Toc351203645"/>
      <w:bookmarkStart w:id="267" w:name="_Toc297048405"/>
      <w:bookmarkStart w:id="268" w:name="_Toc312678053"/>
      <w:bookmarkStart w:id="269" w:name="_Toc304295593"/>
      <w:bookmarkStart w:id="270" w:name="_Toc292559929"/>
      <w:bookmarkStart w:id="271" w:name="_Toc297123564"/>
      <w:bookmarkStart w:id="272" w:name="_Toc300935015"/>
      <w:bookmarkStart w:id="273" w:name="_Toc296346720"/>
      <w:bookmarkStart w:id="274" w:name="_Toc296891047"/>
      <w:bookmarkStart w:id="275" w:name="_Toc296944558"/>
      <w:bookmarkStart w:id="276" w:name="_Toc297216223"/>
      <w:bookmarkStart w:id="277" w:name="_Toc296347218"/>
      <w:r>
        <w:rPr>
          <w:rFonts w:hint="eastAsia" w:ascii="宋体" w:hAnsi="宋体" w:eastAsia="宋体" w:cs="宋体"/>
          <w:sz w:val="32"/>
          <w:szCs w:val="32"/>
          <w:highlight w:val="none"/>
        </w:rPr>
        <w:t>10.1 合同价格形式及调整</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本合同价款采用 </w:t>
      </w:r>
      <w:r>
        <w:rPr>
          <w:rFonts w:hint="eastAsia" w:ascii="宋体" w:hAnsi="宋体" w:eastAsia="宋体" w:cs="宋体"/>
          <w:sz w:val="32"/>
          <w:szCs w:val="32"/>
          <w:highlight w:val="none"/>
          <w:u w:val="single"/>
        </w:rPr>
        <w:t>固定综合单价</w:t>
      </w:r>
      <w:r>
        <w:rPr>
          <w:rFonts w:hint="eastAsia" w:ascii="宋体" w:hAnsi="宋体" w:eastAsia="宋体" w:cs="宋体"/>
          <w:sz w:val="32"/>
          <w:szCs w:val="32"/>
          <w:highlight w:val="none"/>
        </w:rPr>
        <w:t>方式确定。</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（1）固定综合单价合同在合同约定的风险范围内不可调整。</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即：工程量清单中的综合单价和其中以总额报价的项目今后不作调整但业主出具的设计变更内容和政策性调整除外。</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（2）合同价款中包括的风险范围：除下列10.2条款中风险范围以外的内容可调整外，其余不可调整。</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10.2</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双方约定合同价款的调整因素：即风险范围以外的内容：</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（1）编制说明、工程量清单描述外的工程内容；</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（2）设计变更引起的工程量变化；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（3）发包人要求的承包范围以外的附加工程量；</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（4）发包人提出的对乙供部分材料进行更改，引起的价差；</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（5）暂列金额及暂估价；</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（6）政策性调整费用：除人工费用可调整外，其余不调整；</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（7）工程材料价格可按苏建价[2016]154号文，常建[2016]94号文执行，苏建函【2018】298号文规定的范围进行调整。</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（8）发包人确认的其它费用。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风险范围外调整方法：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（1）工程量由发包人代表现场按实计量，并经审计单位审核后的数量作为结算依据。</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（2）增减的工程量，必须由发包人批准后才能实施。</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（3）其他涉及设计变更要求的承包范围以外的附加工程量按以下办法结算：</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①工程量经审计单位审核的数量作为结算依据。</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②新增设计变更项目，列名外的项目价格调整：</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A、工程量清单中有相同的，其单价以工程量清单中的单价为准。</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B、不同的项目，结算单价按（2013年建设工程工程量清单计价规范）、（2014）《江苏省安装工程计价定额》、《江苏省市政工程计价定额》等计算综合单价（其中：材料价格按施工同期除税信息价，并让利={1-[投标总价-不可竞争费*（1+规费费率）*（1+税率）]/[标底总价-不可竞争费*（1+规费费率）*（1+税率）]}*100%。材料价格如为双方且经审计单位确认的则该材料不让利。不可竞争费包括：暂定价、暂估价、暂列金额、甲供材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C、暂定价、暂估价的项目按上述B款的方式执行。</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10.2.1、其它说明：</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（1）采用工程量清单方式计价，以审计单位审核后的数量作为结算依据。</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（2）工程施工过程中所有需要在合同价外另行增加费用的内容均须事先征得发包人书面同意，否则一概不予结算。</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所有工程计量签证单上必须有发包人、承包人双方的签字和盖章，方可作为竣工结算的依据，签证单上必须明确签证的原因、位置、尺寸、数量、材料、人工、机械台班、价格和签证时间，如有必要，还需附有相应的综合单价分析。</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10.3 计量</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10.3.1 计量原则</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工程量计算规则：</w:t>
      </w:r>
      <w:r>
        <w:rPr>
          <w:rFonts w:hint="eastAsia" w:ascii="宋体" w:hAnsi="宋体" w:eastAsia="宋体" w:cs="宋体"/>
          <w:sz w:val="32"/>
          <w:szCs w:val="32"/>
          <w:highlight w:val="none"/>
          <w:u w:val="single"/>
        </w:rPr>
        <w:t>执行国家标准《建设工程工程量清单计价规范》(GB50500-2013)或其适用的修订版本，承包人实际完成的工程量按约定的工程量计算规则和有合同约束力的图纸进行计量。</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10.3.2 单价合同的计量</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关于单价合同计量的约定：</w:t>
      </w:r>
      <w:r>
        <w:rPr>
          <w:rFonts w:hint="eastAsia" w:ascii="宋体" w:hAnsi="宋体" w:eastAsia="宋体" w:cs="宋体"/>
          <w:sz w:val="32"/>
          <w:szCs w:val="32"/>
          <w:highlight w:val="none"/>
          <w:u w:val="single"/>
        </w:rPr>
        <w:t xml:space="preserve">按通用条款执行 </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10.4 工程进度款支付</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278" w:name="_Toc297123556"/>
      <w:bookmarkStart w:id="279" w:name="_Toc303539163"/>
      <w:bookmarkStart w:id="280" w:name="_Toc296503211"/>
      <w:bookmarkStart w:id="281" w:name="_Toc296891039"/>
      <w:bookmarkStart w:id="282" w:name="_Toc296944550"/>
      <w:bookmarkStart w:id="283" w:name="_Toc296346712"/>
      <w:bookmarkStart w:id="284" w:name="_Toc292559921"/>
      <w:bookmarkStart w:id="285" w:name="_Toc297120511"/>
      <w:bookmarkStart w:id="286" w:name="_Toc297216215"/>
      <w:bookmarkStart w:id="287" w:name="_Toc300935006"/>
      <w:bookmarkStart w:id="288" w:name="_Toc296891251"/>
      <w:bookmarkStart w:id="289" w:name="_Toc292559416"/>
      <w:bookmarkStart w:id="290" w:name="_Toc296347210"/>
      <w:bookmarkStart w:id="291" w:name="_Toc297048397"/>
      <w:r>
        <w:rPr>
          <w:rFonts w:hint="eastAsia" w:ascii="宋体" w:hAnsi="宋体" w:eastAsia="宋体" w:cs="宋体"/>
          <w:sz w:val="32"/>
          <w:szCs w:val="32"/>
          <w:highlight w:val="none"/>
        </w:rPr>
        <w:t>10.4.1 付款周期</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关于付款周期的约定：</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2"/>
        <w:ind w:left="0" w:leftChars="0" w:firstLine="643" w:firstLineChars="2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工程完工验收合格后支付至</w:t>
      </w:r>
      <w:r>
        <w:rPr>
          <w:rFonts w:hint="eastAsia" w:ascii="宋体" w:hAnsi="宋体" w:cs="宋体"/>
          <w:b/>
          <w:bCs/>
          <w:sz w:val="32"/>
          <w:szCs w:val="32"/>
          <w:highlight w:val="none"/>
          <w:lang w:val="en-US" w:eastAsia="zh-CN"/>
        </w:rPr>
        <w:t>合同</w:t>
      </w:r>
      <w:r>
        <w:rPr>
          <w:rFonts w:hint="eastAsia" w:ascii="宋体" w:hAnsi="宋体" w:eastAsia="宋体" w:cs="宋体"/>
          <w:b/>
          <w:bCs/>
          <w:sz w:val="32"/>
          <w:szCs w:val="32"/>
          <w:highlight w:val="none"/>
        </w:rPr>
        <w:t>价款的8</w:t>
      </w:r>
      <w:r>
        <w:rPr>
          <w:rFonts w:hint="eastAsia" w:ascii="宋体" w:hAnsi="宋体" w:cs="宋体"/>
          <w:b/>
          <w:bCs/>
          <w:sz w:val="32"/>
          <w:szCs w:val="32"/>
          <w:highlight w:val="none"/>
          <w:lang w:val="en-US" w:eastAsia="zh-CN"/>
        </w:rPr>
        <w:t>0</w:t>
      </w:r>
      <w:r>
        <w:rPr>
          <w:rFonts w:hint="eastAsia" w:ascii="宋体" w:hAnsi="宋体" w:eastAsia="宋体" w:cs="宋体"/>
          <w:b/>
          <w:bCs/>
          <w:sz w:val="32"/>
          <w:szCs w:val="32"/>
          <w:highlight w:val="none"/>
        </w:rPr>
        <w:t>%，余款在工程完工验收合格并经审计部门审计后一次性付清（无息）。</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10.4.2工程审计结束后，承包人必须按审定价足额开具增值税专用发票，支付时按合同约定支付。</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Pr>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sz w:val="32"/>
          <w:szCs w:val="32"/>
          <w:highlight w:val="none"/>
        </w:rPr>
      </w:pPr>
      <w:bookmarkStart w:id="292" w:name="_Toc267251470"/>
      <w:bookmarkStart w:id="293" w:name="_Toc267251474"/>
      <w:bookmarkStart w:id="294" w:name="_Toc267251471"/>
      <w:bookmarkStart w:id="295" w:name="_Toc267251472"/>
      <w:bookmarkStart w:id="296" w:name="_Toc280868709"/>
      <w:bookmarkStart w:id="297" w:name="_Toc267251476"/>
      <w:bookmarkStart w:id="298" w:name="_Toc267251473"/>
      <w:bookmarkStart w:id="299" w:name="_Toc351203646"/>
      <w:bookmarkStart w:id="300" w:name="_Toc267251475"/>
      <w:r>
        <w:rPr>
          <w:rFonts w:hint="eastAsia" w:ascii="宋体" w:hAnsi="宋体" w:eastAsia="宋体" w:cs="宋体"/>
          <w:b/>
          <w:sz w:val="32"/>
          <w:szCs w:val="32"/>
          <w:highlight w:val="none"/>
        </w:rPr>
        <w:t>11. 验收</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11.1 分部分项工程验收</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sz w:val="32"/>
          <w:szCs w:val="32"/>
          <w:highlight w:val="none"/>
        </w:rPr>
        <w:t>11.1.</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发包人不能按时进行验收时，应提前</w:t>
      </w:r>
      <w:r>
        <w:rPr>
          <w:rFonts w:hint="eastAsia" w:ascii="宋体" w:hAnsi="宋体" w:eastAsia="宋体" w:cs="宋体"/>
          <w:sz w:val="32"/>
          <w:szCs w:val="32"/>
          <w:highlight w:val="none"/>
          <w:u w:val="single"/>
        </w:rPr>
        <w:t xml:space="preserve">  24  </w:t>
      </w:r>
      <w:r>
        <w:rPr>
          <w:rFonts w:hint="eastAsia" w:ascii="宋体" w:hAnsi="宋体" w:eastAsia="宋体" w:cs="宋体"/>
          <w:sz w:val="32"/>
          <w:szCs w:val="32"/>
          <w:highlight w:val="none"/>
        </w:rPr>
        <w:t>小时提交书面延期要求。关于延期最长不得超过：</w:t>
      </w:r>
      <w:r>
        <w:rPr>
          <w:rFonts w:hint="eastAsia" w:ascii="宋体" w:hAnsi="宋体" w:eastAsia="宋体" w:cs="宋体"/>
          <w:sz w:val="32"/>
          <w:szCs w:val="32"/>
          <w:highlight w:val="none"/>
          <w:u w:val="single"/>
        </w:rPr>
        <w:t xml:space="preserve">  48  </w:t>
      </w:r>
      <w:r>
        <w:rPr>
          <w:rFonts w:hint="eastAsia" w:ascii="宋体" w:hAnsi="宋体" w:eastAsia="宋体" w:cs="宋体"/>
          <w:sz w:val="32"/>
          <w:szCs w:val="32"/>
          <w:highlight w:val="none"/>
        </w:rPr>
        <w:t>小时。</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bookmarkStart w:id="301" w:name="_Toc296503223"/>
      <w:bookmarkStart w:id="302" w:name="_Toc292559933"/>
      <w:bookmarkStart w:id="303" w:name="_Toc297216224"/>
      <w:bookmarkStart w:id="304" w:name="_Toc292559428"/>
      <w:bookmarkStart w:id="305" w:name="_Toc303539173"/>
      <w:bookmarkStart w:id="306" w:name="_Toc297048409"/>
      <w:bookmarkStart w:id="307" w:name="_Toc312678056"/>
      <w:bookmarkStart w:id="308" w:name="_Toc296891263"/>
      <w:bookmarkStart w:id="309" w:name="_Toc296347222"/>
      <w:bookmarkStart w:id="310" w:name="_Toc304295596"/>
      <w:bookmarkStart w:id="311" w:name="_Toc297120523"/>
      <w:bookmarkStart w:id="312" w:name="_Toc296346724"/>
      <w:bookmarkStart w:id="313" w:name="_Toc296891051"/>
      <w:bookmarkStart w:id="314" w:name="_Toc300935016"/>
      <w:bookmarkStart w:id="315" w:name="_Toc297123565"/>
      <w:bookmarkStart w:id="316" w:name="_Toc296944562"/>
      <w:r>
        <w:rPr>
          <w:rFonts w:hint="eastAsia" w:ascii="宋体" w:hAnsi="宋体" w:eastAsia="宋体" w:cs="宋体"/>
          <w:sz w:val="32"/>
          <w:szCs w:val="32"/>
          <w:highlight w:val="none"/>
        </w:rPr>
        <w:t>11.2 竣工验收</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11.2.1竣工验收条件</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工程具备以下条件的，承包人可以申请竣工验收：</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（1）除发包人同意的甩项工作和缺陷修补工作外，合同范围内的全部工程以及有关工作，包括合同要求的试验、试运行以及检验均已完成，并符合合同要求；</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（2）已按合同约定编制了甩项工作和缺陷修补工作清单以及相应的施工计划；</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（3）已按合同约定的内容和份数备齐竣工资料。</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11.3 竣工退场</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11.3.1 竣工退场</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承包人完成竣工退场的期限：</w:t>
      </w:r>
      <w:r>
        <w:rPr>
          <w:rFonts w:hint="eastAsia" w:ascii="宋体" w:hAnsi="宋体" w:eastAsia="宋体" w:cs="宋体"/>
          <w:sz w:val="32"/>
          <w:szCs w:val="32"/>
          <w:highlight w:val="none"/>
          <w:u w:val="single"/>
        </w:rPr>
        <w:t>工程移交后7日内</w:t>
      </w:r>
      <w:r>
        <w:rPr>
          <w:rFonts w:hint="eastAsia" w:ascii="宋体" w:hAnsi="宋体" w:eastAsia="宋体" w:cs="宋体"/>
          <w:sz w:val="32"/>
          <w:szCs w:val="32"/>
          <w:highlight w:val="none"/>
        </w:rPr>
        <w:t>。</w:t>
      </w:r>
    </w:p>
    <w:bookmarkEnd w:id="292"/>
    <w:bookmarkEnd w:id="293"/>
    <w:bookmarkEnd w:id="294"/>
    <w:bookmarkEnd w:id="295"/>
    <w:bookmarkEnd w:id="296"/>
    <w:bookmarkEnd w:id="297"/>
    <w:bookmarkEnd w:id="298"/>
    <w:bookmarkEnd w:id="299"/>
    <w:bookmarkEnd w:id="300"/>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bookmarkStart w:id="317" w:name="_Toc351203648"/>
      <w:bookmarkStart w:id="318" w:name="_Toc267251495"/>
      <w:bookmarkStart w:id="319" w:name="_Toc267251508"/>
      <w:bookmarkStart w:id="320" w:name="_Toc267251515"/>
      <w:bookmarkStart w:id="321" w:name="_Toc267251514"/>
      <w:bookmarkStart w:id="322" w:name="_Toc267251510"/>
      <w:bookmarkStart w:id="323" w:name="_Toc267251494"/>
      <w:bookmarkStart w:id="324" w:name="_Toc267251496"/>
      <w:bookmarkStart w:id="325" w:name="_Toc267251498"/>
      <w:bookmarkStart w:id="326" w:name="_Toc267251493"/>
      <w:bookmarkStart w:id="327" w:name="_Toc267251499"/>
      <w:bookmarkStart w:id="328" w:name="_Toc267251501"/>
      <w:bookmarkStart w:id="329" w:name="_Toc267251492"/>
      <w:bookmarkStart w:id="330" w:name="_Toc280868718"/>
      <w:bookmarkStart w:id="331" w:name="_Toc267251504"/>
      <w:bookmarkStart w:id="332" w:name="_Toc267251511"/>
      <w:bookmarkStart w:id="333" w:name="_Toc267251507"/>
      <w:bookmarkStart w:id="334" w:name="_Toc267251509"/>
      <w:bookmarkStart w:id="335" w:name="_Toc267251497"/>
      <w:bookmarkStart w:id="336" w:name="_Toc267251491"/>
      <w:bookmarkStart w:id="337" w:name="_Toc267251502"/>
      <w:bookmarkStart w:id="338" w:name="_Toc267251506"/>
      <w:bookmarkStart w:id="339" w:name="_Toc280868717"/>
      <w:bookmarkStart w:id="340" w:name="_Toc267251503"/>
      <w:bookmarkStart w:id="341" w:name="_Toc267251513"/>
      <w:r>
        <w:rPr>
          <w:rFonts w:hint="eastAsia" w:ascii="宋体" w:hAnsi="宋体" w:eastAsia="宋体" w:cs="宋体"/>
          <w:b/>
          <w:bCs/>
          <w:sz w:val="32"/>
          <w:szCs w:val="32"/>
          <w:highlight w:val="none"/>
        </w:rPr>
        <w:t>12. 竣工结算</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12.1 最终结清</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12.1.1 最终结清申请单</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承包人提交最终结算申请单的期限：</w:t>
      </w:r>
      <w:r>
        <w:rPr>
          <w:rFonts w:hint="eastAsia" w:ascii="宋体" w:hAnsi="宋体" w:eastAsia="宋体" w:cs="宋体"/>
          <w:sz w:val="32"/>
          <w:szCs w:val="32"/>
          <w:highlight w:val="none"/>
          <w:u w:val="single"/>
        </w:rPr>
        <w:t>竣工验收合格后 30日内。</w:t>
      </w:r>
      <w:r>
        <w:rPr>
          <w:rFonts w:hint="eastAsia" w:ascii="宋体" w:hAnsi="宋体" w:eastAsia="宋体" w:cs="宋体"/>
          <w:sz w:val="32"/>
          <w:szCs w:val="32"/>
          <w:highlight w:val="none"/>
        </w:rPr>
        <w:t xml:space="preserve"> </w:t>
      </w:r>
    </w:p>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bookmarkStart w:id="342" w:name="_Toc351203647"/>
      <w:bookmarkStart w:id="343" w:name="_Toc267251483"/>
      <w:bookmarkStart w:id="344" w:name="_Toc267251482"/>
      <w:bookmarkStart w:id="345" w:name="_Toc267251484"/>
      <w:bookmarkStart w:id="346" w:name="_Toc267251485"/>
      <w:bookmarkStart w:id="347" w:name="_Toc267251488"/>
      <w:bookmarkStart w:id="348" w:name="_Toc267251490"/>
      <w:bookmarkStart w:id="349" w:name="_Toc267251489"/>
      <w:bookmarkStart w:id="350" w:name="_Toc267251486"/>
      <w:r>
        <w:rPr>
          <w:rFonts w:hint="eastAsia" w:ascii="宋体" w:hAnsi="宋体" w:eastAsia="宋体" w:cs="宋体"/>
          <w:b/>
          <w:bCs/>
          <w:sz w:val="32"/>
          <w:szCs w:val="32"/>
          <w:highlight w:val="none"/>
        </w:rPr>
        <w:t>13. 缺陷责任期与保修</w:t>
      </w:r>
      <w:bookmarkEnd w:id="342"/>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13.1缺陷责任期</w:t>
      </w:r>
      <w:bookmarkEnd w:id="343"/>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缺陷责任期的具体期限：</w:t>
      </w:r>
      <w:r>
        <w:rPr>
          <w:rFonts w:hint="eastAsia" w:ascii="宋体" w:hAnsi="宋体" w:cs="宋体"/>
          <w:sz w:val="32"/>
          <w:szCs w:val="32"/>
          <w:highlight w:val="none"/>
          <w:u w:val="single"/>
          <w:lang w:val="en-US" w:eastAsia="zh-CN"/>
        </w:rPr>
        <w:t>1年</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13.2 质量保证金</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关于是否扣留质量保证金的约定：</w:t>
      </w:r>
      <w:r>
        <w:rPr>
          <w:rFonts w:hint="eastAsia" w:ascii="宋体" w:hAnsi="宋体" w:eastAsia="宋体" w:cs="宋体"/>
          <w:sz w:val="32"/>
          <w:szCs w:val="32"/>
          <w:highlight w:val="none"/>
          <w:u w:val="single"/>
        </w:rPr>
        <w:t>/</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13.2.1 质量保证金的扣留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质量保证金的扣留采取以下方式：</w:t>
      </w:r>
      <w:r>
        <w:rPr>
          <w:rFonts w:hint="eastAsia" w:ascii="宋体" w:hAnsi="宋体" w:eastAsia="宋体" w:cs="宋体"/>
          <w:sz w:val="32"/>
          <w:szCs w:val="32"/>
          <w:highlight w:val="none"/>
          <w:u w:val="single"/>
        </w:rPr>
        <w:t>/。</w:t>
      </w:r>
    </w:p>
    <w:bookmarkEnd w:id="344"/>
    <w:bookmarkEnd w:id="345"/>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13.3保修</w:t>
      </w:r>
    </w:p>
    <w:bookmarkEnd w:id="346"/>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13.3.1 保修责任</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工程保修期为：</w:t>
      </w:r>
      <w:r>
        <w:rPr>
          <w:rFonts w:hint="eastAsia" w:ascii="宋体" w:hAnsi="宋体" w:cs="宋体"/>
          <w:sz w:val="32"/>
          <w:szCs w:val="32"/>
          <w:highlight w:val="none"/>
          <w:u w:val="single"/>
          <w:lang w:val="en-US" w:eastAsia="zh-CN"/>
        </w:rPr>
        <w:t>1年</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13.3.2 修复通知</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承包人收到保修通知并到达工程现场的合理时间：</w:t>
      </w:r>
      <w:r>
        <w:rPr>
          <w:rFonts w:hint="eastAsia" w:ascii="宋体" w:hAnsi="宋体" w:eastAsia="宋体" w:cs="宋体"/>
          <w:sz w:val="32"/>
          <w:szCs w:val="32"/>
          <w:highlight w:val="none"/>
          <w:u w:val="single"/>
        </w:rPr>
        <w:t>承包人收到保修通知后8小时内到达工程现场。</w:t>
      </w:r>
    </w:p>
    <w:bookmarkEnd w:id="317"/>
    <w:bookmarkEnd w:id="347"/>
    <w:bookmarkEnd w:id="348"/>
    <w:bookmarkEnd w:id="349"/>
    <w:bookmarkEnd w:id="350"/>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bookmarkStart w:id="351" w:name="_Toc351203649"/>
      <w:r>
        <w:rPr>
          <w:rFonts w:hint="eastAsia" w:ascii="宋体" w:hAnsi="宋体" w:eastAsia="宋体" w:cs="宋体"/>
          <w:b/>
          <w:bCs/>
          <w:sz w:val="32"/>
          <w:szCs w:val="32"/>
          <w:highlight w:val="none"/>
        </w:rPr>
        <w:t>14. 违约</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14.1 发包人违约</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14.1.1发包人违约的情形</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发包人违约的其他情形：</w:t>
      </w:r>
      <w:r>
        <w:rPr>
          <w:rFonts w:hint="eastAsia" w:ascii="宋体" w:hAnsi="宋体" w:eastAsia="宋体" w:cs="宋体"/>
          <w:sz w:val="32"/>
          <w:szCs w:val="32"/>
          <w:highlight w:val="none"/>
          <w:u w:val="single"/>
        </w:rPr>
        <w:t>若因发包人原因需减少或取消部分工程量清单，发包人只对已发生的合格工程量负责，根据已发生的合格工程量与承包人办理结算，不承担其它违约责任</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14.1.2 发包人违约的责任</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发包人违约责任的承担方式和计算方法：</w:t>
      </w:r>
      <w:r>
        <w:rPr>
          <w:rFonts w:hint="eastAsia" w:ascii="宋体" w:hAnsi="宋体" w:eastAsia="宋体" w:cs="宋体"/>
          <w:sz w:val="32"/>
          <w:szCs w:val="32"/>
          <w:highlight w:val="none"/>
          <w:u w:val="singl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14.2 承包人违约</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14.2.1 承包人违约的情形</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承包人违约的其他情形：</w:t>
      </w:r>
      <w:r>
        <w:rPr>
          <w:rFonts w:hint="eastAsia" w:ascii="宋体" w:hAnsi="宋体" w:eastAsia="宋体" w:cs="宋体"/>
          <w:sz w:val="32"/>
          <w:szCs w:val="32"/>
          <w:highlight w:val="none"/>
          <w:u w:val="single"/>
        </w:rPr>
        <w:t>承包人不得以任何理由拒绝发包人提出的关于工程设计变更及其他零星工作施工的要求，否则按本合同补充条款第二条执行。</w:t>
      </w:r>
    </w:p>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51"/>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15. 不可抗力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15.1 不可抗力的确认</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除通用合同条款约定的不可抗力事件之外，视为不可抗力的其他情形：</w:t>
      </w:r>
      <w:r>
        <w:rPr>
          <w:rFonts w:hint="eastAsia" w:ascii="宋体" w:hAnsi="宋体" w:eastAsia="宋体" w:cs="宋体"/>
          <w:sz w:val="32"/>
          <w:szCs w:val="32"/>
          <w:highlight w:val="none"/>
          <w:u w:val="single"/>
        </w:rPr>
        <w:t>因战争、动乱、空中飞行物体坠落或其他非发包方承包方责任造成的爆炸、火灾，以及自然灾害</w:t>
      </w:r>
      <w:r>
        <w:rPr>
          <w:rFonts w:hint="eastAsia" w:ascii="宋体" w:hAnsi="宋体" w:eastAsia="宋体" w:cs="宋体"/>
          <w:sz w:val="32"/>
          <w:szCs w:val="32"/>
          <w:highlight w:val="none"/>
        </w:rPr>
        <w:t>。</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15.2 因不可抗力解除合同</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合同解除后，发包人应在商定或确定发包人应支付款项后</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天内完成款项的支付。</w:t>
      </w:r>
    </w:p>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bookmarkStart w:id="352" w:name="_Toc351203650"/>
      <w:r>
        <w:rPr>
          <w:rFonts w:hint="eastAsia" w:ascii="宋体" w:hAnsi="宋体" w:eastAsia="宋体" w:cs="宋体"/>
          <w:b/>
          <w:bCs/>
          <w:sz w:val="32"/>
          <w:szCs w:val="32"/>
          <w:highlight w:val="none"/>
        </w:rPr>
        <w:t>16. 保险</w:t>
      </w:r>
      <w:bookmarkEnd w:id="352"/>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16.1 工程保险</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关于工程保险的特别约定：</w:t>
      </w:r>
      <w:r>
        <w:rPr>
          <w:rFonts w:hint="eastAsia" w:ascii="宋体" w:hAnsi="宋体" w:eastAsia="宋体" w:cs="宋体"/>
          <w:sz w:val="32"/>
          <w:szCs w:val="32"/>
          <w:highlight w:val="none"/>
          <w:u w:val="single"/>
        </w:rPr>
        <w:t>承包人自理</w:t>
      </w:r>
      <w:r>
        <w:rPr>
          <w:rFonts w:hint="eastAsia" w:ascii="宋体" w:hAnsi="宋体" w:eastAsia="宋体" w:cs="宋体"/>
          <w:sz w:val="32"/>
          <w:szCs w:val="32"/>
          <w:highlight w:val="none"/>
        </w:rPr>
        <w:t>。</w:t>
      </w:r>
    </w:p>
    <w:p>
      <w:pPr>
        <w:keepNext/>
        <w:keepLines/>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bookmarkStart w:id="353" w:name="_Toc351203651"/>
      <w:r>
        <w:rPr>
          <w:rFonts w:hint="eastAsia" w:ascii="宋体" w:hAnsi="宋体" w:eastAsia="宋体" w:cs="宋体"/>
          <w:b/>
          <w:bCs/>
          <w:sz w:val="32"/>
          <w:szCs w:val="32"/>
          <w:highlight w:val="none"/>
        </w:rPr>
        <w:t>17. 争议解决</w:t>
      </w:r>
      <w:bookmarkEnd w:id="353"/>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17.1仲裁或诉讼</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因合同及合同有关事项发生的争议，按下列第</w:t>
      </w:r>
      <w:r>
        <w:rPr>
          <w:rFonts w:hint="eastAsia" w:ascii="宋体" w:hAnsi="宋体" w:eastAsia="宋体" w:cs="宋体"/>
          <w:sz w:val="32"/>
          <w:szCs w:val="32"/>
          <w:highlight w:val="none"/>
          <w:u w:val="single"/>
        </w:rPr>
        <w:t xml:space="preserve">  （2）  </w:t>
      </w:r>
      <w:r>
        <w:rPr>
          <w:rFonts w:hint="eastAsia" w:ascii="宋体" w:hAnsi="宋体" w:eastAsia="宋体" w:cs="宋体"/>
          <w:sz w:val="32"/>
          <w:szCs w:val="32"/>
          <w:highlight w:val="none"/>
        </w:rPr>
        <w:t>种方式解决：</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（1）向</w:t>
      </w:r>
      <w:r>
        <w:rPr>
          <w:rFonts w:hint="eastAsia" w:ascii="宋体" w:hAnsi="宋体" w:eastAsia="宋体" w:cs="宋体"/>
          <w:sz w:val="32"/>
          <w:szCs w:val="32"/>
          <w:highlight w:val="none"/>
          <w:u w:val="single"/>
        </w:rPr>
        <w:t xml:space="preserve"> 常州市 </w:t>
      </w:r>
      <w:r>
        <w:rPr>
          <w:rFonts w:hint="eastAsia" w:ascii="宋体" w:hAnsi="宋体" w:eastAsia="宋体" w:cs="宋体"/>
          <w:sz w:val="32"/>
          <w:szCs w:val="32"/>
          <w:highlight w:val="none"/>
        </w:rPr>
        <w:t>仲裁委员会申请仲裁；</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（2）向 </w:t>
      </w:r>
      <w:r>
        <w:rPr>
          <w:rFonts w:hint="eastAsia" w:ascii="宋体" w:hAnsi="宋体" w:eastAsia="宋体" w:cs="宋体"/>
          <w:sz w:val="32"/>
          <w:szCs w:val="32"/>
          <w:highlight w:val="none"/>
          <w:u w:val="single"/>
          <w:lang w:val="en-US" w:eastAsia="zh-CN"/>
        </w:rPr>
        <w:t>有管辖权的</w:t>
      </w:r>
      <w:r>
        <w:rPr>
          <w:rFonts w:hint="eastAsia" w:ascii="宋体" w:hAnsi="宋体" w:eastAsia="宋体" w:cs="宋体"/>
          <w:sz w:val="32"/>
          <w:szCs w:val="32"/>
          <w:highlight w:val="none"/>
        </w:rPr>
        <w:t>人民法院起诉。</w:t>
      </w:r>
    </w:p>
    <w:p>
      <w:pPr>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w:t>
      </w:r>
      <w:r>
        <w:rPr>
          <w:rFonts w:hint="eastAsia" w:ascii="宋体" w:hAnsi="宋体" w:eastAsia="宋体" w:cs="宋体"/>
          <w:b/>
          <w:bCs/>
          <w:sz w:val="32"/>
          <w:szCs w:val="32"/>
          <w:highlight w:val="none"/>
          <w:lang w:val="en-US" w:eastAsia="zh-CN"/>
        </w:rPr>
        <w:t>8</w:t>
      </w:r>
      <w:r>
        <w:rPr>
          <w:rFonts w:hint="eastAsia" w:ascii="宋体" w:hAnsi="宋体" w:eastAsia="宋体" w:cs="宋体"/>
          <w:b/>
          <w:bCs/>
          <w:sz w:val="32"/>
          <w:szCs w:val="32"/>
          <w:highlight w:val="none"/>
        </w:rPr>
        <w:t>. 补充条款</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（1）工程开工日期以合同签订日期为准。竣工日期以建设、施工双方的竣工验收证明单中的时间为准。</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rPr>
        <w:t>）承包人在施工过程中不得以签证（包括但不限于计量、价格签证）有异议作借口暂停施工或拖延工期，如发生此类情况，按擅自停工处理，并承担由此造成的一切后果。</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rPr>
        <w:t xml:space="preserve">）本工程的施工进度必须满足发包方进度安排，否则发包方有权按招标文件中的相关条款进行处理，情节严重的发包方有权终止合同。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rPr>
        <w:t>）临时停水、停电、二次搬运、成品保护等所需措施的一切费用和工期，承包人均已在投标报价时充分考虑，并已考虑了各种可能因素影响施工所增加的费用，因此，发生上述情况，发包人不另行增加费用。</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rPr>
        <w:t>）竣工时承包人负责进行全面清理，承包人应在工程竣工前及时将临时设施及施工设备拆除，做到工完场清（含建筑垃圾清运），清理标准应获得发包人认可。如承包人拒绝完成或不能按合同要求完成，发包人可安排第三方完成，按实际发生费用从承包人工程款中直接扣出，影响工期的责任由承包人承担。</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rPr>
        <w:t xml:space="preserve">）承包人在施工期间应特别注意各方人员及自身的安全，尽量降低噪音。若遇重大活动或发包人需要的特别时间段内，可能对施工作出某些限制和配合要求，承包人应予无条件服从，并按照有关要求作出必要的配合，这可能造成承包人损失（如窝工等）。投标单位报价时应将这些损失充分考虑在报价中 ，工程结算时发包人将不承担承包人的任何费用。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7</w:t>
      </w:r>
      <w:r>
        <w:rPr>
          <w:rFonts w:hint="eastAsia" w:ascii="宋体" w:hAnsi="宋体" w:eastAsia="宋体" w:cs="宋体"/>
          <w:sz w:val="32"/>
          <w:szCs w:val="32"/>
          <w:highlight w:val="none"/>
        </w:rPr>
        <w:t xml:space="preserve">）施工过程中如因质量、安全文明或环境保护以及其它问题而遭受规划、环保、建设、城管或其它行政管理部门批评或开具处罚通知单，每发生一次，承包人除立即整改外，还应承担0.5万元/次的违约金。承包人施工过程中对发包人提出的质量、安全文明或环境保护的整改要求，承包人48 小时内未进行整改或整改后仍然无法满足要求时，每发生一次，承包人承担0.5万元的违约金。如承包人拒不执行建设行政主管部门、发包人指令的，承包人将按1万元/次承担违约金，并追究相关责任。因承包人原因导致本工程出现质量、安全责任事故的，承包人承担1万元/次违约金，并赔偿由此给发包人造成的损失。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8</w:t>
      </w:r>
      <w:r>
        <w:rPr>
          <w:rFonts w:hint="eastAsia" w:ascii="宋体" w:hAnsi="宋体" w:eastAsia="宋体" w:cs="宋体"/>
          <w:sz w:val="32"/>
          <w:szCs w:val="32"/>
          <w:highlight w:val="none"/>
        </w:rPr>
        <w:t xml:space="preserve">）承包人的工人、供应商等因承包人拖欠工资、货款、工程款而直接向发包人追索价款，或到发包人、政府部门滋生事端的，承包人承担合同结算价款1％的违约金，发包人有权动用工程余款支付民工工资或材料款。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9</w:t>
      </w:r>
      <w:r>
        <w:rPr>
          <w:rFonts w:hint="eastAsia" w:ascii="宋体" w:hAnsi="宋体" w:eastAsia="宋体" w:cs="宋体"/>
          <w:sz w:val="32"/>
          <w:szCs w:val="32"/>
          <w:highlight w:val="none"/>
        </w:rPr>
        <w:t xml:space="preserve">）承包人应在合同约定的时间内向发包人提交有效的竣工结算资料，经发包人审查确认后交由第三方审核。本工程结算价款以第三方审计单位的审定价为准。 </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）投标人投标时应充分考虑本工程的特殊性，施工地点偏远、不能连续封闭施工等因素。</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w:t>
      </w: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rPr>
        <w:t>）清单中所列工程量为估算量，工程量增减除按规定计取相应的费用外，不另增加其他任何索赔费用。</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bCs/>
          <w:sz w:val="32"/>
          <w:szCs w:val="32"/>
          <w:highlight w:val="none"/>
        </w:rPr>
      </w:pPr>
      <w:r>
        <w:rPr>
          <w:rFonts w:hint="eastAsia" w:ascii="宋体" w:hAnsi="宋体" w:eastAsia="宋体" w:cs="宋体"/>
          <w:sz w:val="32"/>
          <w:szCs w:val="32"/>
          <w:highlight w:val="none"/>
        </w:rPr>
        <w:t>（1</w:t>
      </w: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rPr>
        <w:t>）工</w:t>
      </w:r>
      <w:r>
        <w:rPr>
          <w:rFonts w:hint="eastAsia" w:ascii="宋体" w:hAnsi="宋体" w:eastAsia="宋体" w:cs="宋体"/>
          <w:bCs/>
          <w:sz w:val="32"/>
          <w:szCs w:val="32"/>
          <w:highlight w:val="none"/>
        </w:rPr>
        <w:t>程量清单及主要工作内容所列项目并非必须要施工内容。具体施工内容及要求由发包人现场确定包括但不限于工程量清单及主要工作内容所列项目。项目内容增减不另增加索赔费用。</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bCs/>
          <w:sz w:val="32"/>
          <w:szCs w:val="32"/>
          <w:highlight w:val="none"/>
        </w:rPr>
        <w:t>（1</w:t>
      </w:r>
      <w:r>
        <w:rPr>
          <w:rFonts w:hint="eastAsia" w:ascii="宋体" w:hAnsi="宋体" w:cs="宋体"/>
          <w:bCs/>
          <w:sz w:val="32"/>
          <w:szCs w:val="32"/>
          <w:highlight w:val="none"/>
          <w:lang w:val="en-US" w:eastAsia="zh-CN"/>
        </w:rPr>
        <w:t>3</w:t>
      </w:r>
      <w:r>
        <w:rPr>
          <w:rFonts w:hint="eastAsia" w:ascii="宋体" w:hAnsi="宋体" w:eastAsia="宋体" w:cs="宋体"/>
          <w:bCs/>
          <w:sz w:val="32"/>
          <w:szCs w:val="32"/>
          <w:highlight w:val="none"/>
        </w:rPr>
        <w:t>）</w:t>
      </w:r>
      <w:r>
        <w:rPr>
          <w:rFonts w:hint="eastAsia" w:ascii="宋体" w:hAnsi="宋体" w:eastAsia="宋体" w:cs="宋体"/>
          <w:sz w:val="32"/>
          <w:szCs w:val="32"/>
          <w:highlight w:val="none"/>
        </w:rPr>
        <w:t>工程验收时由发包人负责本项目的竣工验收工作，并组建竣工验收组。</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w:t>
      </w: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rPr>
        <w:t>）在保修期内，若工程出现质量问题，不按发包人要求维修或返工，发包人有权另请施工单位维修，维修费用在支付工程款时扣除。</w:t>
      </w:r>
    </w:p>
    <w:p>
      <w:pPr>
        <w:pageBreakBefore w:val="0"/>
        <w:widowControl w:val="0"/>
        <w:kinsoku/>
        <w:wordWrap/>
        <w:overflowPunct/>
        <w:topLinePunct w:val="0"/>
        <w:bidi w:val="0"/>
        <w:snapToGrid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w:t>
      </w: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rPr>
        <w:t>）其他未尽事项，双方协商决定。</w:t>
      </w:r>
    </w:p>
    <w:p>
      <w:pPr>
        <w:pageBreakBefore w:val="0"/>
        <w:widowControl w:val="0"/>
        <w:kinsoku/>
        <w:wordWrap/>
        <w:overflowPunct/>
        <w:topLinePunct w:val="0"/>
        <w:bidi w:val="0"/>
        <w:snapToGrid w:val="0"/>
        <w:spacing w:line="560" w:lineRule="exact"/>
        <w:ind w:firstLine="643" w:firstLineChars="200"/>
        <w:textAlignment w:val="auto"/>
        <w:rPr>
          <w:rFonts w:hint="eastAsia" w:ascii="宋体" w:hAnsi="宋体" w:eastAsia="宋体" w:cs="宋体"/>
          <w:sz w:val="32"/>
          <w:szCs w:val="32"/>
          <w:highlight w:val="none"/>
        </w:rPr>
      </w:pPr>
      <w:r>
        <w:rPr>
          <w:rFonts w:hint="eastAsia" w:ascii="宋体" w:hAnsi="宋体" w:eastAsia="宋体" w:cs="宋体"/>
          <w:b/>
          <w:sz w:val="32"/>
          <w:szCs w:val="32"/>
          <w:highlight w:val="none"/>
        </w:rPr>
        <w:t>本合同正本一式</w:t>
      </w:r>
      <w:r>
        <w:rPr>
          <w:rFonts w:hint="eastAsia" w:ascii="宋体" w:hAnsi="宋体" w:cs="宋体"/>
          <w:b/>
          <w:sz w:val="32"/>
          <w:szCs w:val="32"/>
          <w:highlight w:val="none"/>
          <w:lang w:val="en-US" w:eastAsia="zh-CN"/>
        </w:rPr>
        <w:t>肆</w:t>
      </w:r>
      <w:r>
        <w:rPr>
          <w:rFonts w:hint="eastAsia" w:ascii="宋体" w:hAnsi="宋体" w:eastAsia="宋体" w:cs="宋体"/>
          <w:b/>
          <w:sz w:val="32"/>
          <w:szCs w:val="32"/>
          <w:highlight w:val="none"/>
        </w:rPr>
        <w:t>份，具有同等法律效力，甲方、乙方各执</w:t>
      </w:r>
      <w:r>
        <w:rPr>
          <w:rFonts w:hint="eastAsia" w:ascii="宋体" w:hAnsi="宋体" w:cs="宋体"/>
          <w:b/>
          <w:sz w:val="32"/>
          <w:szCs w:val="32"/>
          <w:highlight w:val="none"/>
          <w:lang w:val="en-US" w:eastAsia="zh-CN"/>
        </w:rPr>
        <w:t>贰</w:t>
      </w:r>
      <w:r>
        <w:rPr>
          <w:rFonts w:hint="eastAsia" w:ascii="宋体" w:hAnsi="宋体" w:eastAsia="宋体" w:cs="宋体"/>
          <w:b/>
          <w:sz w:val="32"/>
          <w:szCs w:val="32"/>
          <w:highlight w:val="none"/>
        </w:rPr>
        <w:t>份</w:t>
      </w:r>
      <w:r>
        <w:rPr>
          <w:rFonts w:hint="eastAsia" w:ascii="宋体" w:hAnsi="宋体" w:eastAsia="宋体" w:cs="宋体"/>
          <w:sz w:val="32"/>
          <w:szCs w:val="32"/>
          <w:highlight w:val="none"/>
        </w:rPr>
        <w:t xml:space="preserve">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发包人（公章）：                    承包人（公章）：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住所：                              住所：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法定代表人：                        法定代表人：</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委托代理人：                        委托代理人：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电话：                              电话：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传真：                              传真：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开户银行：                          开户银行：</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帐号：                              帐号：            </w:t>
      </w:r>
    </w:p>
    <w:p>
      <w:pPr>
        <w:pageBreakBefore w:val="0"/>
        <w:widowControl w:val="0"/>
        <w:kinsoku/>
        <w:wordWrap/>
        <w:overflowPunct/>
        <w:topLinePunct w:val="0"/>
        <w:bidi w:val="0"/>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邮政编码：                          邮政编码：     </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宋体" w:hAnsi="宋体" w:eastAsia="宋体" w:cs="宋体"/>
          <w:sz w:val="32"/>
          <w:szCs w:val="32"/>
          <w:highlight w:val="none"/>
        </w:rPr>
      </w:pPr>
    </w:p>
    <w:p>
      <w:pPr>
        <w:pageBreakBefore w:val="0"/>
        <w:widowControl w:val="0"/>
        <w:kinsoku/>
        <w:wordWrap/>
        <w:overflowPunct/>
        <w:topLinePunct w:val="0"/>
        <w:bidi w:val="0"/>
        <w:adjustRightInd w:val="0"/>
        <w:snapToGrid w:val="0"/>
        <w:spacing w:line="560" w:lineRule="exact"/>
        <w:ind w:firstLine="320" w:firstLineChars="100"/>
        <w:textAlignment w:val="auto"/>
        <w:rPr>
          <w:rFonts w:hint="eastAsia" w:ascii="宋体" w:hAnsi="宋体" w:eastAsia="宋体" w:cs="宋体"/>
          <w:sz w:val="32"/>
          <w:szCs w:val="32"/>
          <w:highlight w:val="none"/>
          <w:lang w:val="en-US" w:eastAsia="zh-CN"/>
        </w:rPr>
        <w:sectPr>
          <w:footerReference r:id="rId4"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cols w:space="720" w:num="1"/>
          <w:rtlGutter w:val="0"/>
          <w:docGrid w:linePitch="360" w:charSpace="0"/>
        </w:sectPr>
      </w:pPr>
      <w:r>
        <w:rPr>
          <w:rFonts w:hint="eastAsia" w:ascii="宋体" w:hAnsi="宋体" w:eastAsia="宋体" w:cs="宋体"/>
          <w:sz w:val="32"/>
          <w:szCs w:val="32"/>
          <w:highlight w:val="none"/>
        </w:rPr>
        <w:t>年     月     日                     年    月     日</w:t>
      </w:r>
    </w:p>
    <w:bookmarkEnd w:id="8"/>
    <w:bookmarkEnd w:id="9"/>
    <w:bookmarkEnd w:id="10"/>
    <w:bookmarkEnd w:id="16"/>
    <w:p>
      <w:pPr>
        <w:pStyle w:val="5"/>
        <w:spacing w:before="0" w:after="0" w:line="660" w:lineRule="exact"/>
        <w:jc w:val="center"/>
        <w:rPr>
          <w:rFonts w:ascii="方正小标宋简体" w:hAnsi="仿宋_GB2312" w:eastAsia="方正小标宋简体"/>
          <w:b w:val="0"/>
          <w:bCs/>
          <w:color w:val="000000"/>
          <w:szCs w:val="44"/>
          <w:highlight w:val="none"/>
        </w:rPr>
      </w:pPr>
      <w:bookmarkStart w:id="354" w:name="_Toc96584967"/>
      <w:bookmarkStart w:id="355" w:name="_Toc96585093"/>
      <w:bookmarkStart w:id="356" w:name="_Toc414431079"/>
      <w:bookmarkStart w:id="357" w:name="_Toc2782"/>
      <w:bookmarkStart w:id="358" w:name="_Toc16449"/>
      <w:bookmarkStart w:id="359" w:name="_Toc161767428"/>
      <w:bookmarkStart w:id="360" w:name="_Toc135999006"/>
      <w:r>
        <w:rPr>
          <w:rFonts w:hint="eastAsia" w:ascii="方正小标宋简体" w:hAnsi="仿宋_GB2312" w:eastAsia="方正小标宋简体"/>
          <w:b w:val="0"/>
          <w:bCs/>
          <w:color w:val="000000"/>
          <w:szCs w:val="44"/>
          <w:highlight w:val="none"/>
        </w:rPr>
        <w:t>第</w:t>
      </w:r>
      <w:r>
        <w:rPr>
          <w:rFonts w:hint="eastAsia" w:ascii="方正小标宋简体" w:hAnsi="仿宋_GB2312" w:eastAsia="方正小标宋简体"/>
          <w:b w:val="0"/>
          <w:bCs/>
          <w:color w:val="000000"/>
          <w:szCs w:val="44"/>
          <w:highlight w:val="none"/>
          <w:lang w:val="en-US" w:eastAsia="zh-CN"/>
        </w:rPr>
        <w:t>五</w:t>
      </w:r>
      <w:r>
        <w:rPr>
          <w:rFonts w:hint="eastAsia" w:ascii="方正小标宋简体" w:hAnsi="仿宋_GB2312" w:eastAsia="方正小标宋简体"/>
          <w:b w:val="0"/>
          <w:bCs/>
          <w:color w:val="000000"/>
          <w:szCs w:val="44"/>
          <w:highlight w:val="none"/>
        </w:rPr>
        <w:t>章  谈判响应文件格式</w:t>
      </w:r>
      <w:bookmarkEnd w:id="354"/>
      <w:bookmarkEnd w:id="355"/>
      <w:bookmarkEnd w:id="356"/>
      <w:bookmarkEnd w:id="357"/>
    </w:p>
    <w:p>
      <w:pPr>
        <w:spacing w:line="360" w:lineRule="auto"/>
        <w:ind w:firstLine="900" w:firstLineChars="249"/>
        <w:rPr>
          <w:rFonts w:ascii="仿宋_GB2312" w:eastAsia="仿宋_GB2312"/>
          <w:b/>
          <w:bCs/>
          <w:sz w:val="36"/>
          <w:szCs w:val="36"/>
          <w:highlight w:val="none"/>
          <w:u w:val="singl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361" w:name="_Toc256691561"/>
      <w:bookmarkStart w:id="362" w:name="_Toc256695437"/>
      <w:r>
        <w:rPr>
          <w:rFonts w:hint="eastAsia" w:ascii="仿宋_GB2312" w:eastAsia="仿宋_GB2312"/>
          <w:b/>
          <w:bCs/>
          <w:sz w:val="36"/>
          <w:szCs w:val="36"/>
          <w:highlight w:val="none"/>
        </w:rPr>
        <w:t>(项目名称)</w:t>
      </w:r>
      <w:bookmarkEnd w:id="361"/>
      <w:bookmarkEnd w:id="362"/>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363" w:name="_Toc256695438"/>
      <w:bookmarkStart w:id="364" w:name="_Toc256691562"/>
      <w:r>
        <w:rPr>
          <w:rFonts w:hint="eastAsia" w:ascii="仿宋_GB2312" w:hAnsi="Cambria" w:eastAsia="仿宋_GB2312"/>
          <w:b/>
          <w:spacing w:val="-20"/>
          <w:sz w:val="52"/>
          <w:szCs w:val="52"/>
          <w:highlight w:val="none"/>
        </w:rPr>
        <w:t>谈 判 响 应 文 件</w:t>
      </w:r>
      <w:bookmarkEnd w:id="363"/>
      <w:bookmarkEnd w:id="364"/>
    </w:p>
    <w:p>
      <w:pPr>
        <w:jc w:val="center"/>
        <w:rPr>
          <w:rFonts w:ascii="仿宋_GB2312" w:eastAsia="仿宋_GB2312"/>
          <w:sz w:val="32"/>
          <w:szCs w:val="32"/>
          <w:highlight w:val="none"/>
        </w:rPr>
      </w:pPr>
    </w:p>
    <w:p>
      <w:pPr>
        <w:jc w:val="center"/>
        <w:rPr>
          <w:rFonts w:ascii="仿宋_GB2312" w:hAnsi="宋体" w:eastAsia="仿宋_GB2312"/>
          <w:sz w:val="32"/>
          <w:szCs w:val="32"/>
          <w:highlight w:val="none"/>
        </w:rPr>
      </w:pPr>
      <w:bookmarkStart w:id="365" w:name="_Toc256695439"/>
      <w:bookmarkStart w:id="366" w:name="_Toc256691563"/>
      <w:r>
        <w:rPr>
          <w:rFonts w:hint="eastAsia" w:ascii="仿宋_GB2312" w:hAnsi="宋体" w:eastAsia="仿宋_GB2312"/>
          <w:sz w:val="32"/>
          <w:szCs w:val="32"/>
          <w:highlight w:val="none"/>
        </w:rPr>
        <w:t>项目编号：(         )</w:t>
      </w:r>
      <w:bookmarkEnd w:id="365"/>
      <w:bookmarkEnd w:id="366"/>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367" w:name="_Toc256695440"/>
      <w:bookmarkStart w:id="368" w:name="_Toc256691564"/>
      <w:r>
        <w:rPr>
          <w:rFonts w:hint="eastAsia" w:ascii="仿宋_GB2312" w:eastAsia="仿宋_GB2312"/>
          <w:b/>
          <w:sz w:val="32"/>
          <w:szCs w:val="32"/>
          <w:highlight w:val="none"/>
        </w:rPr>
        <w:t xml:space="preserve">         谈判</w:t>
      </w:r>
      <w:r>
        <w:rPr>
          <w:rFonts w:hint="eastAsia" w:ascii="仿宋_GB2312" w:eastAsia="仿宋_GB2312"/>
          <w:b/>
          <w:sz w:val="32"/>
          <w:szCs w:val="32"/>
          <w:highlight w:val="none"/>
          <w:lang w:eastAsia="zh-CN"/>
        </w:rPr>
        <w:t>谈判响应人</w:t>
      </w:r>
      <w:r>
        <w:rPr>
          <w:rFonts w:hint="eastAsia" w:ascii="仿宋_GB2312" w:eastAsia="仿宋_GB2312"/>
          <w:b/>
          <w:sz w:val="32"/>
          <w:szCs w:val="32"/>
          <w:highlight w:val="none"/>
        </w:rPr>
        <w:t>：</w:t>
      </w:r>
      <w:bookmarkEnd w:id="367"/>
      <w:bookmarkEnd w:id="368"/>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ascii="仿宋_GB2312" w:eastAsia="仿宋_GB2312"/>
          <w:b/>
          <w:sz w:val="32"/>
          <w:szCs w:val="32"/>
          <w:highlight w:val="none"/>
        </w:rPr>
      </w:pPr>
      <w:bookmarkStart w:id="369" w:name="_Toc256695441"/>
      <w:bookmarkStart w:id="370"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369"/>
      <w:bookmarkEnd w:id="370"/>
    </w:p>
    <w:bookmarkEnd w:id="358"/>
    <w:bookmarkEnd w:id="359"/>
    <w:bookmarkEnd w:id="360"/>
    <w:p>
      <w:pPr>
        <w:jc w:val="center"/>
        <w:rPr>
          <w:rStyle w:val="27"/>
          <w:rFonts w:hint="eastAsia" w:ascii="宋体" w:hAnsi="宋体" w:cstheme="minorBidi"/>
          <w:b w:val="0"/>
          <w:highlight w:val="none"/>
          <w:lang w:val="en-US"/>
        </w:rPr>
      </w:pPr>
      <w:r>
        <w:rPr>
          <w:rStyle w:val="27"/>
          <w:rFonts w:hint="eastAsia" w:ascii="宋体" w:hAnsi="宋体" w:cstheme="minorBidi"/>
          <w:b w:val="0"/>
          <w:highlight w:val="none"/>
          <w:lang w:val="en-US"/>
        </w:rPr>
        <w:t>目  录</w:t>
      </w:r>
    </w:p>
    <w:p>
      <w:pPr>
        <w:numPr>
          <w:ilvl w:val="0"/>
          <w:numId w:val="5"/>
        </w:numPr>
        <w:spacing w:line="240" w:lineRule="atLeas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p>
    <w:p>
      <w:pPr>
        <w:numPr>
          <w:ilvl w:val="0"/>
          <w:numId w:val="5"/>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7"/>
          <w:rFonts w:hint="eastAsia" w:ascii="宋体" w:hAnsi="宋体"/>
          <w:b w:val="0"/>
          <w:highlight w:val="none"/>
          <w:lang w:val="en-US"/>
        </w:rPr>
      </w:pPr>
      <w:r>
        <w:rPr>
          <w:rStyle w:val="27"/>
          <w:rFonts w:hint="eastAsia" w:ascii="宋体" w:hAnsi="宋体"/>
          <w:b w:val="0"/>
          <w:highlight w:val="none"/>
          <w:lang w:val="en-US"/>
        </w:rPr>
        <w:br w:type="page"/>
      </w:r>
    </w:p>
    <w:p>
      <w:pPr>
        <w:jc w:val="center"/>
        <w:rPr>
          <w:rStyle w:val="27"/>
          <w:rFonts w:ascii="宋体" w:hAnsi="宋体"/>
          <w:b w:val="0"/>
          <w:highlight w:val="none"/>
        </w:rPr>
      </w:pPr>
      <w:r>
        <w:rPr>
          <w:rStyle w:val="27"/>
          <w:rFonts w:hint="eastAsia" w:ascii="宋体" w:hAnsi="宋体"/>
          <w:b w:val="0"/>
          <w:highlight w:val="none"/>
          <w:lang w:val="en-US"/>
        </w:rPr>
        <w:t>一、</w:t>
      </w:r>
      <w:r>
        <w:rPr>
          <w:rStyle w:val="27"/>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谈判谈判响应人全称</w:t>
      </w:r>
      <w:r>
        <w:rPr>
          <w:rFonts w:hint="eastAsia" w:ascii="宋体" w:hAnsi="宋体"/>
          <w:sz w:val="32"/>
          <w:szCs w:val="32"/>
          <w:highlight w:val="none"/>
        </w:rPr>
        <w:t>）授权（全权代表姓名、职务、职称）为全权代表，参加贵方组织的（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谈判响应人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谈判响应人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谈判响应人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p>
    <w:p>
      <w:pPr>
        <w:pStyle w:val="3"/>
        <w:spacing w:line="530" w:lineRule="exact"/>
        <w:rPr>
          <w:rFonts w:hint="eastAsia"/>
          <w:sz w:val="32"/>
          <w:szCs w:val="32"/>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rPr>
          <w:highlight w:val="none"/>
        </w:rPr>
      </w:pPr>
    </w:p>
    <w:p>
      <w:pPr>
        <w:pStyle w:val="2"/>
        <w:rPr>
          <w:highlight w:val="none"/>
        </w:rPr>
      </w:pPr>
    </w:p>
    <w:p>
      <w:pPr>
        <w:pStyle w:val="2"/>
        <w:rPr>
          <w:highlight w:val="none"/>
        </w:rPr>
      </w:pPr>
    </w:p>
    <w:p>
      <w:pPr>
        <w:jc w:val="center"/>
        <w:rPr>
          <w:rStyle w:val="27"/>
          <w:rFonts w:hint="eastAsia" w:ascii="宋体" w:hAnsi="宋体" w:cstheme="minorBidi"/>
          <w:b w:val="0"/>
          <w:highlight w:val="none"/>
          <w:lang w:val="en-US"/>
        </w:rPr>
      </w:pPr>
      <w:r>
        <w:rPr>
          <w:rStyle w:val="27"/>
          <w:rFonts w:hint="eastAsia" w:ascii="宋体" w:hAnsi="宋体" w:cstheme="minorBidi"/>
          <w:b w:val="0"/>
          <w:highlight w:val="none"/>
          <w:lang w:val="en-US"/>
        </w:rPr>
        <w:t>二、</w:t>
      </w:r>
      <w:r>
        <w:rPr>
          <w:rStyle w:val="27"/>
          <w:rFonts w:hint="eastAsia" w:ascii="宋体" w:hAnsi="宋体" w:cstheme="minorBidi"/>
          <w:b w:val="0"/>
          <w:highlight w:val="none"/>
          <w:lang w:val="en-US" w:eastAsia="zh-CN"/>
        </w:rPr>
        <w:t>金坛2×350MW盐穴压缩空气储能发电项目地下工程2口井钻井施工井场工程</w:t>
      </w:r>
      <w:r>
        <w:rPr>
          <w:rStyle w:val="27"/>
          <w:rFonts w:hint="eastAsia" w:ascii="宋体" w:hAnsi="宋体" w:cstheme="minorBidi"/>
          <w:b w:val="0"/>
          <w:highlight w:val="none"/>
          <w:lang w:val="en-US"/>
        </w:rPr>
        <w:t>分项报价表</w:t>
      </w:r>
    </w:p>
    <w:p>
      <w:pPr>
        <w:pStyle w:val="28"/>
        <w:rPr>
          <w:rFonts w:hint="eastAsia" w:ascii="仿宋_GB2312" w:hAnsi="仿宋_GB2312" w:eastAsia="仿宋_GB2312" w:cs="仿宋_GB2312"/>
          <w:bCs/>
          <w:sz w:val="28"/>
          <w:szCs w:val="28"/>
          <w:highlight w:val="none"/>
          <w:lang w:eastAsia="zh-CN"/>
        </w:rPr>
      </w:pPr>
    </w:p>
    <w:p>
      <w:pPr>
        <w:pStyle w:val="11"/>
        <w:adjustRightInd w:val="0"/>
        <w:snapToGrid w:val="0"/>
        <w:spacing w:line="360" w:lineRule="auto"/>
        <w:jc w:val="center"/>
        <w:outlineLvl w:val="1"/>
        <w:rPr>
          <w:rFonts w:hint="default" w:hAnsi="Cambria" w:eastAsia="宋体"/>
          <w:b/>
          <w:sz w:val="24"/>
          <w:szCs w:val="24"/>
          <w:highlight w:val="none"/>
          <w:lang w:val="en-US" w:eastAsia="zh-CN"/>
        </w:rPr>
      </w:pPr>
      <w:bookmarkStart w:id="371" w:name="_Toc18522"/>
      <w:bookmarkStart w:id="372" w:name="_Toc1385"/>
      <w:bookmarkStart w:id="373" w:name="_Toc9209"/>
      <w:bookmarkStart w:id="374" w:name="_Toc31897"/>
      <w:bookmarkStart w:id="375" w:name="_Toc7392"/>
      <w:r>
        <w:rPr>
          <w:rFonts w:hint="eastAsia" w:hAnsi="Cambria"/>
          <w:b/>
          <w:sz w:val="24"/>
          <w:szCs w:val="24"/>
          <w:highlight w:val="none"/>
        </w:rPr>
        <w:t>报价汇总表</w:t>
      </w:r>
      <w:bookmarkEnd w:id="371"/>
      <w:bookmarkEnd w:id="372"/>
      <w:bookmarkEnd w:id="373"/>
      <w:bookmarkEnd w:id="374"/>
      <w:bookmarkEnd w:id="375"/>
    </w:p>
    <w:tbl>
      <w:tblPr>
        <w:tblStyle w:val="21"/>
        <w:tblpPr w:leftFromText="180" w:rightFromText="180" w:vertAnchor="text" w:horzAnchor="page" w:tblpX="1942"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838"/>
        <w:gridCol w:w="180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lang w:val="en-US" w:eastAsia="zh-CN"/>
              </w:rPr>
              <w:t>谈判响应人</w:t>
            </w:r>
            <w:r>
              <w:rPr>
                <w:rFonts w:hint="eastAsia" w:ascii="Cambria" w:hAnsi="Cambria" w:eastAsia="宋体"/>
                <w:sz w:val="24"/>
                <w:highlight w:val="none"/>
              </w:rPr>
              <w:t>名称</w:t>
            </w:r>
          </w:p>
        </w:tc>
        <w:tc>
          <w:tcPr>
            <w:tcW w:w="6392" w:type="dxa"/>
            <w:gridSpan w:val="3"/>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投标的标段名称</w:t>
            </w:r>
          </w:p>
        </w:tc>
        <w:tc>
          <w:tcPr>
            <w:tcW w:w="6392" w:type="dxa"/>
            <w:gridSpan w:val="3"/>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投标总价</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投标工期</w:t>
            </w:r>
          </w:p>
        </w:tc>
        <w:tc>
          <w:tcPr>
            <w:tcW w:w="1754" w:type="dxa"/>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投标质量等级</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建造师</w:t>
            </w:r>
          </w:p>
        </w:tc>
        <w:tc>
          <w:tcPr>
            <w:tcW w:w="1754" w:type="dxa"/>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技术负责人</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施工员</w:t>
            </w:r>
          </w:p>
        </w:tc>
        <w:tc>
          <w:tcPr>
            <w:tcW w:w="1754" w:type="dxa"/>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质量员</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安全员</w:t>
            </w:r>
          </w:p>
        </w:tc>
        <w:tc>
          <w:tcPr>
            <w:tcW w:w="1754" w:type="dxa"/>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材料员</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造价员</w:t>
            </w:r>
          </w:p>
        </w:tc>
        <w:tc>
          <w:tcPr>
            <w:tcW w:w="1754" w:type="dxa"/>
            <w:vAlign w:val="center"/>
          </w:tcPr>
          <w:p>
            <w:pPr>
              <w:spacing w:line="360" w:lineRule="auto"/>
              <w:rPr>
                <w:rFonts w:hint="eastAsia" w:ascii="Cambria" w:hAnsi="Cambria"/>
                <w:sz w:val="24"/>
                <w:highlight w:val="none"/>
              </w:rPr>
            </w:pPr>
          </w:p>
        </w:tc>
      </w:tr>
    </w:tbl>
    <w:p>
      <w:pPr>
        <w:pStyle w:val="2"/>
        <w:rPr>
          <w:rFonts w:hint="eastAsia" w:eastAsia="宋体"/>
          <w:highlight w:val="none"/>
          <w:lang w:val="en-US" w:eastAsia="zh-CN"/>
        </w:rPr>
      </w:pPr>
      <w:r>
        <w:rPr>
          <w:rFonts w:hint="eastAsia" w:ascii="Cambria" w:hAnsi="Cambria" w:eastAsia="宋体" w:cs="Times New Roman"/>
          <w:kern w:val="2"/>
          <w:sz w:val="24"/>
          <w:szCs w:val="22"/>
          <w:highlight w:val="none"/>
          <w:lang w:val="en-US" w:eastAsia="zh-CN" w:bidi="ar-SA"/>
        </w:rPr>
        <w:t>分项报价清单详见附件。</w:t>
      </w: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7"/>
          <w:rFonts w:hint="eastAsia" w:ascii="宋体" w:hAnsi="宋体" w:cstheme="minorBidi"/>
          <w:b w:val="0"/>
          <w:highlight w:val="none"/>
          <w:lang w:val="en-US" w:eastAsia="zh-CN"/>
        </w:rPr>
      </w:pPr>
      <w:bookmarkStart w:id="376" w:name="_Toc1604"/>
      <w:r>
        <w:rPr>
          <w:rStyle w:val="27"/>
          <w:rFonts w:hint="eastAsia" w:ascii="宋体" w:hAnsi="宋体" w:cstheme="minorBidi"/>
          <w:b w:val="0"/>
          <w:highlight w:val="none"/>
          <w:lang w:val="en-US" w:eastAsia="zh-CN"/>
        </w:rPr>
        <w:t>三、法定代表人身份证明</w:t>
      </w:r>
      <w:bookmarkEnd w:id="376"/>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谈判响应人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谈判响应人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谈判响应人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7"/>
          <w:rFonts w:hint="eastAsia" w:ascii="宋体" w:hAnsi="宋体" w:cstheme="minorBidi"/>
          <w:b w:val="0"/>
          <w:highlight w:val="none"/>
          <w:lang w:val="en-US" w:eastAsia="zh-CN"/>
        </w:rPr>
      </w:pPr>
      <w:r>
        <w:rPr>
          <w:rStyle w:val="27"/>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谈判响应人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8"/>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271145</wp:posOffset>
                </wp:positionV>
                <wp:extent cx="2977515" cy="1924685"/>
                <wp:effectExtent l="4445" t="4445" r="8890" b="762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2336;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290195</wp:posOffset>
                </wp:positionV>
                <wp:extent cx="2977515" cy="1924685"/>
                <wp:effectExtent l="4445" t="4445" r="8890" b="762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3360;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8"/>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谈判响应人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谈判响应人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谈判响应人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29"/>
        <w:rPr>
          <w:rFonts w:cs="宋体"/>
          <w:sz w:val="32"/>
          <w:szCs w:val="32"/>
          <w:highlight w:val="none"/>
        </w:rPr>
      </w:pPr>
    </w:p>
    <w:p>
      <w:pPr>
        <w:pStyle w:val="29"/>
        <w:rPr>
          <w:rFonts w:cs="宋体"/>
          <w:sz w:val="32"/>
          <w:szCs w:val="32"/>
          <w:highlight w:val="none"/>
        </w:rPr>
      </w:pPr>
    </w:p>
    <w:p>
      <w:pPr>
        <w:pStyle w:val="29"/>
        <w:ind w:firstLine="3404" w:firstLineChars="1064"/>
        <w:jc w:val="right"/>
        <w:rPr>
          <w:rFonts w:cs="宋体"/>
          <w:sz w:val="32"/>
          <w:szCs w:val="32"/>
          <w:highlight w:val="none"/>
        </w:rPr>
      </w:pPr>
      <w:r>
        <w:rPr>
          <w:rFonts w:hint="eastAsia" w:cs="宋体"/>
          <w:sz w:val="32"/>
          <w:szCs w:val="32"/>
          <w:highlight w:val="none"/>
        </w:rPr>
        <w:t>单位负责人签字：</w:t>
      </w:r>
    </w:p>
    <w:p>
      <w:pPr>
        <w:pStyle w:val="29"/>
        <w:ind w:firstLine="6278" w:firstLineChars="1962"/>
        <w:jc w:val="right"/>
        <w:rPr>
          <w:rFonts w:cs="宋体"/>
          <w:sz w:val="32"/>
          <w:szCs w:val="32"/>
          <w:highlight w:val="none"/>
        </w:rPr>
      </w:pPr>
      <w:r>
        <w:rPr>
          <w:rFonts w:hint="eastAsia" w:cs="宋体"/>
          <w:sz w:val="32"/>
          <w:szCs w:val="32"/>
          <w:highlight w:val="none"/>
        </w:rPr>
        <w:t>公司盖章：</w:t>
      </w:r>
    </w:p>
    <w:p>
      <w:pPr>
        <w:pStyle w:val="29"/>
        <w:ind w:firstLine="3404" w:firstLineChars="1064"/>
        <w:jc w:val="right"/>
        <w:rPr>
          <w:rFonts w:cs="宋体"/>
          <w:sz w:val="32"/>
          <w:szCs w:val="32"/>
          <w:highlight w:val="none"/>
        </w:rPr>
      </w:pPr>
      <w:r>
        <w:rPr>
          <w:rFonts w:hint="eastAsia" w:cs="宋体"/>
          <w:sz w:val="32"/>
          <w:szCs w:val="32"/>
          <w:highlight w:val="none"/>
        </w:rPr>
        <w:t>日期：</w:t>
      </w:r>
    </w:p>
    <w:p>
      <w:pPr>
        <w:pStyle w:val="18"/>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28"/>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28"/>
        <w:spacing w:line="560" w:lineRule="exact"/>
        <w:jc w:val="center"/>
        <w:rPr>
          <w:rFonts w:hint="eastAsia" w:ascii="宋体" w:hAnsi="宋体"/>
          <w:sz w:val="32"/>
          <w:szCs w:val="32"/>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spacing w:line="360" w:lineRule="auto"/>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28"/>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8"/>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8"/>
        <w:spacing w:line="560" w:lineRule="exact"/>
        <w:rPr>
          <w:rFonts w:ascii="宋体" w:hAnsi="宋体"/>
          <w:sz w:val="32"/>
          <w:szCs w:val="32"/>
          <w:highlight w:val="none"/>
        </w:rPr>
      </w:pPr>
      <w:r>
        <w:rPr>
          <w:rFonts w:hint="eastAsia" w:ascii="宋体" w:hAnsi="宋体"/>
          <w:sz w:val="32"/>
          <w:szCs w:val="32"/>
          <w:highlight w:val="none"/>
        </w:rPr>
        <w:t>2、开户许可证</w:t>
      </w:r>
    </w:p>
    <w:p>
      <w:pPr>
        <w:pStyle w:val="28"/>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p>
      <w:pPr>
        <w:rPr>
          <w:highlight w:val="none"/>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0639E"/>
    <w:multiLevelType w:val="singleLevel"/>
    <w:tmpl w:val="DED0639E"/>
    <w:lvl w:ilvl="0" w:tentative="0">
      <w:start w:val="3"/>
      <w:numFmt w:val="chineseCounting"/>
      <w:suff w:val="space"/>
      <w:lvlText w:val="第%1章"/>
      <w:lvlJc w:val="left"/>
      <w:rPr>
        <w:rFonts w:hint="eastAsia"/>
      </w:rPr>
    </w:lvl>
  </w:abstractNum>
  <w:abstractNum w:abstractNumId="1">
    <w:nsid w:val="0D707243"/>
    <w:multiLevelType w:val="singleLevel"/>
    <w:tmpl w:val="0D707243"/>
    <w:lvl w:ilvl="0" w:tentative="0">
      <w:start w:val="1"/>
      <w:numFmt w:val="chineseCounting"/>
      <w:suff w:val="space"/>
      <w:lvlText w:val="第%1部分"/>
      <w:lvlJc w:val="left"/>
      <w:pPr>
        <w:ind w:left="2793"/>
      </w:pPr>
      <w:rPr>
        <w:rFonts w:hint="eastAsia"/>
      </w:rPr>
    </w:lvl>
  </w:abstractNum>
  <w:abstractNum w:abstractNumId="2">
    <w:nsid w:val="39B04A2F"/>
    <w:multiLevelType w:val="singleLevel"/>
    <w:tmpl w:val="39B04A2F"/>
    <w:lvl w:ilvl="0" w:tentative="0">
      <w:start w:val="1"/>
      <w:numFmt w:val="chineseCounting"/>
      <w:suff w:val="nothing"/>
      <w:lvlText w:val="%1、"/>
      <w:lvlJc w:val="left"/>
      <w:rPr>
        <w:rFonts w:hint="eastAsia"/>
      </w:rPr>
    </w:lvl>
  </w:abstractNum>
  <w:abstractNum w:abstractNumId="3">
    <w:nsid w:val="40AD3EE4"/>
    <w:multiLevelType w:val="singleLevel"/>
    <w:tmpl w:val="40AD3EE4"/>
    <w:lvl w:ilvl="0" w:tentative="0">
      <w:start w:val="2"/>
      <w:numFmt w:val="decimal"/>
      <w:lvlText w:val="%1."/>
      <w:lvlJc w:val="left"/>
      <w:pPr>
        <w:tabs>
          <w:tab w:val="left" w:pos="312"/>
        </w:tabs>
      </w:pPr>
    </w:lvl>
  </w:abstractNum>
  <w:abstractNum w:abstractNumId="4">
    <w:nsid w:val="6B2B2308"/>
    <w:multiLevelType w:val="singleLevel"/>
    <w:tmpl w:val="6B2B2308"/>
    <w:lvl w:ilvl="0" w:tentative="0">
      <w:start w:val="4"/>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3A2B41AB"/>
    <w:rsid w:val="00060B9E"/>
    <w:rsid w:val="00364C3A"/>
    <w:rsid w:val="00564BF8"/>
    <w:rsid w:val="00655221"/>
    <w:rsid w:val="00A4203D"/>
    <w:rsid w:val="00C968A7"/>
    <w:rsid w:val="00DD211D"/>
    <w:rsid w:val="00E224D0"/>
    <w:rsid w:val="00EB0C6B"/>
    <w:rsid w:val="00FB6A08"/>
    <w:rsid w:val="00FE3239"/>
    <w:rsid w:val="016F26AC"/>
    <w:rsid w:val="020C4532"/>
    <w:rsid w:val="02D23086"/>
    <w:rsid w:val="047C599F"/>
    <w:rsid w:val="05E6498A"/>
    <w:rsid w:val="0607083B"/>
    <w:rsid w:val="0680464D"/>
    <w:rsid w:val="07342561"/>
    <w:rsid w:val="085D24E6"/>
    <w:rsid w:val="090221EB"/>
    <w:rsid w:val="098427FF"/>
    <w:rsid w:val="098B0620"/>
    <w:rsid w:val="09AB4631"/>
    <w:rsid w:val="0B472137"/>
    <w:rsid w:val="0B664CB3"/>
    <w:rsid w:val="0C0F7EDB"/>
    <w:rsid w:val="0C3E79DE"/>
    <w:rsid w:val="0D221557"/>
    <w:rsid w:val="0D41054D"/>
    <w:rsid w:val="0D815DD4"/>
    <w:rsid w:val="0D865199"/>
    <w:rsid w:val="0DAB3876"/>
    <w:rsid w:val="0DC21F49"/>
    <w:rsid w:val="0FAB0611"/>
    <w:rsid w:val="105A2768"/>
    <w:rsid w:val="10AD127D"/>
    <w:rsid w:val="11005262"/>
    <w:rsid w:val="11365128"/>
    <w:rsid w:val="11A07D09"/>
    <w:rsid w:val="11CB6ABE"/>
    <w:rsid w:val="1232319F"/>
    <w:rsid w:val="14902DA1"/>
    <w:rsid w:val="14A01236"/>
    <w:rsid w:val="14EF5D19"/>
    <w:rsid w:val="155A7685"/>
    <w:rsid w:val="15A5287C"/>
    <w:rsid w:val="168230D4"/>
    <w:rsid w:val="168C3967"/>
    <w:rsid w:val="18E13BCB"/>
    <w:rsid w:val="18FE652B"/>
    <w:rsid w:val="19B260A8"/>
    <w:rsid w:val="19CE23A1"/>
    <w:rsid w:val="1A332A88"/>
    <w:rsid w:val="1ABC044C"/>
    <w:rsid w:val="1B040045"/>
    <w:rsid w:val="1B1F6C2C"/>
    <w:rsid w:val="1B3F2E2B"/>
    <w:rsid w:val="1B485BA7"/>
    <w:rsid w:val="1B660A27"/>
    <w:rsid w:val="1BE45A3C"/>
    <w:rsid w:val="1D465EF1"/>
    <w:rsid w:val="1D8B1CDD"/>
    <w:rsid w:val="1DAD4007"/>
    <w:rsid w:val="1E9626F5"/>
    <w:rsid w:val="1F642E60"/>
    <w:rsid w:val="204A64FA"/>
    <w:rsid w:val="20547378"/>
    <w:rsid w:val="2100305C"/>
    <w:rsid w:val="21A41C3A"/>
    <w:rsid w:val="226D64CF"/>
    <w:rsid w:val="23571659"/>
    <w:rsid w:val="2377133A"/>
    <w:rsid w:val="247753E3"/>
    <w:rsid w:val="24A230CE"/>
    <w:rsid w:val="25987D07"/>
    <w:rsid w:val="25CC175F"/>
    <w:rsid w:val="262477ED"/>
    <w:rsid w:val="266E7EE1"/>
    <w:rsid w:val="26977FBF"/>
    <w:rsid w:val="26EB157D"/>
    <w:rsid w:val="26FB054E"/>
    <w:rsid w:val="27135897"/>
    <w:rsid w:val="27F60D15"/>
    <w:rsid w:val="28F9286B"/>
    <w:rsid w:val="29F86FC6"/>
    <w:rsid w:val="2A1C5934"/>
    <w:rsid w:val="2A922F77"/>
    <w:rsid w:val="2AEB32D2"/>
    <w:rsid w:val="2C043A01"/>
    <w:rsid w:val="2C4E79A5"/>
    <w:rsid w:val="2DC12B39"/>
    <w:rsid w:val="2FCD4A51"/>
    <w:rsid w:val="2FCF2577"/>
    <w:rsid w:val="301B57BD"/>
    <w:rsid w:val="303B5E5F"/>
    <w:rsid w:val="30656A38"/>
    <w:rsid w:val="30AF2473"/>
    <w:rsid w:val="30EA3184"/>
    <w:rsid w:val="30F93DC8"/>
    <w:rsid w:val="314154AB"/>
    <w:rsid w:val="319D6E3C"/>
    <w:rsid w:val="31E96ED5"/>
    <w:rsid w:val="32221084"/>
    <w:rsid w:val="32255438"/>
    <w:rsid w:val="330D7BF3"/>
    <w:rsid w:val="33C20973"/>
    <w:rsid w:val="34D665A6"/>
    <w:rsid w:val="35376740"/>
    <w:rsid w:val="357716E7"/>
    <w:rsid w:val="367E51B7"/>
    <w:rsid w:val="37164F30"/>
    <w:rsid w:val="379C3687"/>
    <w:rsid w:val="37E45315"/>
    <w:rsid w:val="3A2B41AB"/>
    <w:rsid w:val="3A414072"/>
    <w:rsid w:val="3AE8267C"/>
    <w:rsid w:val="3B164BF1"/>
    <w:rsid w:val="3B3A6E95"/>
    <w:rsid w:val="3CE73C48"/>
    <w:rsid w:val="3DE55D84"/>
    <w:rsid w:val="3E3F5528"/>
    <w:rsid w:val="3F446ADE"/>
    <w:rsid w:val="3F5A686B"/>
    <w:rsid w:val="3F655B8B"/>
    <w:rsid w:val="3FB40D80"/>
    <w:rsid w:val="3FD24A11"/>
    <w:rsid w:val="403C0BC6"/>
    <w:rsid w:val="421D0583"/>
    <w:rsid w:val="423A703E"/>
    <w:rsid w:val="42AD499A"/>
    <w:rsid w:val="42ED7B8E"/>
    <w:rsid w:val="454113CA"/>
    <w:rsid w:val="46357180"/>
    <w:rsid w:val="465C5D08"/>
    <w:rsid w:val="46C56205"/>
    <w:rsid w:val="47B5612D"/>
    <w:rsid w:val="480C7D3E"/>
    <w:rsid w:val="4B0610EB"/>
    <w:rsid w:val="4D0D12B8"/>
    <w:rsid w:val="4D4057F3"/>
    <w:rsid w:val="4D8B2E35"/>
    <w:rsid w:val="4E3B72FE"/>
    <w:rsid w:val="4ECB24F8"/>
    <w:rsid w:val="4F4331C8"/>
    <w:rsid w:val="503C6221"/>
    <w:rsid w:val="503C735D"/>
    <w:rsid w:val="50636741"/>
    <w:rsid w:val="511E72C2"/>
    <w:rsid w:val="51B51D9B"/>
    <w:rsid w:val="52383B54"/>
    <w:rsid w:val="525F2A86"/>
    <w:rsid w:val="52F31BE5"/>
    <w:rsid w:val="5302488E"/>
    <w:rsid w:val="53614E3E"/>
    <w:rsid w:val="54A0435F"/>
    <w:rsid w:val="54AD082A"/>
    <w:rsid w:val="56010E2D"/>
    <w:rsid w:val="569A6B8C"/>
    <w:rsid w:val="56C26B22"/>
    <w:rsid w:val="57320DF1"/>
    <w:rsid w:val="57396B76"/>
    <w:rsid w:val="57E427B4"/>
    <w:rsid w:val="585A4BA4"/>
    <w:rsid w:val="598C4EB2"/>
    <w:rsid w:val="5A493AAE"/>
    <w:rsid w:val="5AEA0A90"/>
    <w:rsid w:val="5B5E287E"/>
    <w:rsid w:val="5BA10673"/>
    <w:rsid w:val="5BC30933"/>
    <w:rsid w:val="5D0C00B7"/>
    <w:rsid w:val="5DB96B1E"/>
    <w:rsid w:val="5F0202B7"/>
    <w:rsid w:val="5F4D248C"/>
    <w:rsid w:val="61AB5AC1"/>
    <w:rsid w:val="61D218D0"/>
    <w:rsid w:val="62724E61"/>
    <w:rsid w:val="63044341"/>
    <w:rsid w:val="63D95197"/>
    <w:rsid w:val="64686F03"/>
    <w:rsid w:val="64A77044"/>
    <w:rsid w:val="64AA08E2"/>
    <w:rsid w:val="656C403D"/>
    <w:rsid w:val="67941924"/>
    <w:rsid w:val="6954706E"/>
    <w:rsid w:val="69DF102E"/>
    <w:rsid w:val="6B030D4C"/>
    <w:rsid w:val="6B5F50DC"/>
    <w:rsid w:val="6B6C069F"/>
    <w:rsid w:val="6BC6086E"/>
    <w:rsid w:val="6C147306"/>
    <w:rsid w:val="6DE5538E"/>
    <w:rsid w:val="6E5D0773"/>
    <w:rsid w:val="6F63625D"/>
    <w:rsid w:val="707324D0"/>
    <w:rsid w:val="70BC09C1"/>
    <w:rsid w:val="71F74756"/>
    <w:rsid w:val="737427E7"/>
    <w:rsid w:val="73905147"/>
    <w:rsid w:val="73F8030D"/>
    <w:rsid w:val="74520C5C"/>
    <w:rsid w:val="74DD616A"/>
    <w:rsid w:val="74EA0870"/>
    <w:rsid w:val="753261D3"/>
    <w:rsid w:val="76937428"/>
    <w:rsid w:val="769B2EDE"/>
    <w:rsid w:val="77764653"/>
    <w:rsid w:val="79220866"/>
    <w:rsid w:val="795E5F85"/>
    <w:rsid w:val="7A5573A6"/>
    <w:rsid w:val="7B3A48B6"/>
    <w:rsid w:val="7B5D7EF5"/>
    <w:rsid w:val="7C4829F8"/>
    <w:rsid w:val="7CB24FCC"/>
    <w:rsid w:val="7D9812EF"/>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character" w:default="1" w:styleId="20">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textAlignment w:val="baseline"/>
    </w:pPr>
    <w:rPr>
      <w:rFonts w:ascii="宋体" w:hAnsi="Courier New"/>
    </w:rPr>
  </w:style>
  <w:style w:type="paragraph" w:styleId="12">
    <w:name w:val="Body Text Indent 2"/>
    <w:basedOn w:val="1"/>
    <w:qFormat/>
    <w:uiPriority w:val="0"/>
    <w:pPr>
      <w:spacing w:after="120" w:line="480" w:lineRule="auto"/>
      <w:ind w:left="420" w:firstLine="539"/>
    </w:pPr>
    <w:rPr>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spacing w:after="120"/>
      <w:ind w:left="420" w:leftChars="200"/>
    </w:pPr>
    <w:rPr>
      <w:sz w:val="16"/>
      <w:szCs w:val="16"/>
    </w:rPr>
  </w:style>
  <w:style w:type="paragraph" w:styleId="17">
    <w:name w:val="table of figures"/>
    <w:basedOn w:val="1"/>
    <w:next w:val="1"/>
    <w:qFormat/>
    <w:uiPriority w:val="0"/>
    <w:pPr>
      <w:ind w:left="420" w:hanging="420"/>
      <w:jc w:val="left"/>
    </w:pPr>
    <w:rPr>
      <w:smallCaps/>
      <w:sz w:val="20"/>
    </w:r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0"/>
    <w:pPr>
      <w:spacing w:beforeAutospacing="1" w:afterAutospacing="1"/>
      <w:jc w:val="left"/>
    </w:pPr>
    <w:rPr>
      <w:kern w:val="0"/>
      <w:sz w:val="24"/>
    </w:rPr>
  </w:style>
  <w:style w:type="paragraph" w:customStyle="1" w:styleId="22">
    <w:name w:val="Table Heading"/>
    <w:basedOn w:val="23"/>
    <w:qFormat/>
    <w:uiPriority w:val="0"/>
    <w:pPr>
      <w:autoSpaceDE/>
      <w:autoSpaceDN/>
      <w:spacing w:line="288" w:lineRule="auto"/>
      <w:jc w:val="center"/>
    </w:pPr>
    <w:rPr>
      <w:rFonts w:ascii="宋体" w:hAnsi="宋体"/>
      <w:b/>
    </w:rPr>
  </w:style>
  <w:style w:type="paragraph" w:customStyle="1" w:styleId="23">
    <w:name w:val="Table Text"/>
    <w:basedOn w:val="1"/>
    <w:qFormat/>
    <w:uiPriority w:val="0"/>
    <w:pPr>
      <w:widowControl/>
      <w:autoSpaceDE w:val="0"/>
      <w:autoSpaceDN w:val="0"/>
      <w:spacing w:before="60" w:after="60"/>
      <w:jc w:val="left"/>
    </w:pPr>
    <w:rPr>
      <w:kern w:val="0"/>
    </w:rPr>
  </w:style>
  <w:style w:type="paragraph" w:customStyle="1" w:styleId="24">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5">
    <w:name w:val="样式1"/>
    <w:basedOn w:val="1"/>
    <w:qFormat/>
    <w:uiPriority w:val="0"/>
    <w:pPr>
      <w:textAlignment w:val="baseline"/>
    </w:pPr>
    <w:rPr>
      <w:rFonts w:ascii="宋体" w:hAnsi="宋体"/>
      <w:szCs w:val="21"/>
    </w:rPr>
  </w:style>
  <w:style w:type="paragraph" w:customStyle="1" w:styleId="26">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7">
    <w:name w:val="标题 2 Char Char Char"/>
    <w:qFormat/>
    <w:uiPriority w:val="0"/>
    <w:rPr>
      <w:rFonts w:ascii="Arial" w:hAnsi="Arial" w:eastAsia="黑体"/>
      <w:b/>
      <w:bCs/>
      <w:kern w:val="2"/>
      <w:sz w:val="32"/>
      <w:szCs w:val="32"/>
      <w:lang w:val="en-US" w:eastAsia="zh-CN" w:bidi="ar-SA"/>
    </w:rPr>
  </w:style>
  <w:style w:type="paragraph" w:customStyle="1" w:styleId="28">
    <w:name w:val="无间隔1"/>
    <w:basedOn w:val="1"/>
    <w:qFormat/>
    <w:uiPriority w:val="1"/>
    <w:pPr>
      <w:spacing w:line="400" w:lineRule="exact"/>
    </w:pPr>
    <w:rPr>
      <w:sz w:val="24"/>
    </w:rPr>
  </w:style>
  <w:style w:type="paragraph" w:customStyle="1" w:styleId="29">
    <w:name w:val="样式 仿宋_GB2312 四号 行距: 1.5 倍行距"/>
    <w:basedOn w:val="1"/>
    <w:qFormat/>
    <w:uiPriority w:val="0"/>
    <w:pPr>
      <w:spacing w:line="360" w:lineRule="auto"/>
      <w:ind w:firstLine="560"/>
    </w:pPr>
    <w:rPr>
      <w:rFonts w:ascii="宋体" w:hAnsi="宋体"/>
      <w:color w:val="000000"/>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font31"/>
    <w:basedOn w:val="20"/>
    <w:qFormat/>
    <w:uiPriority w:val="0"/>
    <w:rPr>
      <w:rFonts w:hint="eastAsia" w:ascii="宋体" w:hAnsi="宋体" w:eastAsia="宋体" w:cs="宋体"/>
      <w:color w:val="000000"/>
      <w:sz w:val="24"/>
      <w:szCs w:val="24"/>
      <w:u w:val="none"/>
    </w:rPr>
  </w:style>
  <w:style w:type="character" w:customStyle="1" w:styleId="32">
    <w:name w:val="font21"/>
    <w:basedOn w:val="20"/>
    <w:qFormat/>
    <w:uiPriority w:val="0"/>
    <w:rPr>
      <w:rFonts w:hint="default" w:ascii="Times New Roman" w:hAnsi="Times New Roman" w:cs="Times New Roman"/>
      <w:color w:val="000000"/>
      <w:sz w:val="24"/>
      <w:szCs w:val="24"/>
      <w:u w:val="none"/>
    </w:rPr>
  </w:style>
  <w:style w:type="character" w:customStyle="1" w:styleId="33">
    <w:name w:val="font01"/>
    <w:basedOn w:val="20"/>
    <w:qFormat/>
    <w:uiPriority w:val="0"/>
    <w:rPr>
      <w:rFonts w:hint="eastAsia" w:ascii="宋体" w:hAnsi="宋体" w:eastAsia="宋体" w:cs="宋体"/>
      <w:color w:val="000000"/>
      <w:sz w:val="24"/>
      <w:szCs w:val="24"/>
      <w:u w:val="none"/>
    </w:rPr>
  </w:style>
  <w:style w:type="character" w:customStyle="1" w:styleId="34">
    <w:name w:val="页眉 Char"/>
    <w:basedOn w:val="20"/>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14597</Words>
  <Characters>15307</Characters>
  <Lines>65</Lines>
  <Paragraphs>18</Paragraphs>
  <TotalTime>145</TotalTime>
  <ScaleCrop>false</ScaleCrop>
  <LinksUpToDate>false</LinksUpToDate>
  <CharactersWithSpaces>17521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2024-09-03T08:54:00Z</dcterms:created>
  <dc:creator>乔辰生</dc:creator>
  <cp:lastModifiedBy>梦里花落U知多少</cp:lastModifiedBy>
  <cp:lastPrinted>2024-12-13T07:25:00Z</cp:lastPrinted>
  <dcterms:modified xsi:type="dcterms:W3CDTF">2024-12-16T07:40:13Z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4A68E0B5B802463098C850AFA0B42A82_13</vt:lpwstr>
  </property>
</Properties>
</file>