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附件一：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167" w:tblpY="477"/>
        <w:tblOverlap w:val="never"/>
        <w:tblW w:w="131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77"/>
        <w:gridCol w:w="1678"/>
        <w:gridCol w:w="1545"/>
        <w:gridCol w:w="1033"/>
        <w:gridCol w:w="1455"/>
        <w:gridCol w:w="2467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客户名称：江苏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长江地质勘查院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报价日期：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22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上述报价应包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含运费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，收货地址：河南永城。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</w:tbl>
    <w:p/>
    <w:p/>
    <w:sectPr>
      <w:pgSz w:w="16838" w:h="2381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B0086"/>
    <w:rsid w:val="297724F8"/>
    <w:rsid w:val="5C7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Theme="minorAscii" w:hAnsiTheme="minorAscii"/>
      <w:b/>
      <w:kern w:val="44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2022-04-30T04:57:00Z</dcterms:created>
  <dc:creator>仗剑红颜</dc:creator>
  <cp:lastModifiedBy>仗剑红颜</cp:lastModifiedBy>
  <dcterms:modified xsi:type="dcterms:W3CDTF">2022-04-30T04:57:49Z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826E320355744DF09AD2A97D7B6A8C02</vt:lpwstr>
  </property>
</Properties>
</file>